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jc w:val="center"/>
        <w:rPr>
          <w:rFonts w:hint="eastAsia" w:asciiTheme="majorEastAsia" w:hAnsiTheme="majorEastAsia" w:eastAsiaTheme="majorEastAsia" w:cstheme="majorEastAsia"/>
          <w:i w:val="0"/>
          <w:caps w:val="0"/>
          <w:color w:val="333333"/>
          <w:sz w:val="44"/>
          <w:szCs w:val="44"/>
        </w:rPr>
      </w:pPr>
      <w:r>
        <w:rPr>
          <w:rFonts w:hint="eastAsia" w:asciiTheme="majorEastAsia" w:hAnsiTheme="majorEastAsia" w:eastAsiaTheme="majorEastAsia" w:cstheme="majorEastAsia"/>
          <w:i w:val="0"/>
          <w:caps w:val="0"/>
          <w:color w:val="333333"/>
          <w:sz w:val="44"/>
          <w:szCs w:val="44"/>
          <w:bdr w:val="none" w:color="auto" w:sz="0" w:space="0"/>
          <w:shd w:val="clear" w:fill="FFFFFF"/>
        </w:rPr>
        <w:t>这一年，我们身边多了哪些保密法律法规？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60" w:firstLineChars="200"/>
        <w:rPr>
          <w:rFonts w:hint="eastAsia" w:ascii="仿宋" w:hAnsi="仿宋" w:eastAsia="仿宋" w:cs="仿宋"/>
          <w:b w:val="0"/>
          <w:i w:val="0"/>
          <w:caps w:val="0"/>
          <w:color w:val="020202"/>
          <w:spacing w:val="5"/>
          <w:sz w:val="32"/>
          <w:szCs w:val="32"/>
          <w:shd w:val="clear" w:fill="FFFFFF"/>
          <w:lang w:eastAsia="zh-CN"/>
        </w:rPr>
      </w:pPr>
      <w:r>
        <w:rPr>
          <w:rFonts w:hint="eastAsia" w:ascii="仿宋" w:hAnsi="仿宋" w:eastAsia="仿宋" w:cs="仿宋"/>
          <w:b w:val="0"/>
          <w:i w:val="0"/>
          <w:caps w:val="0"/>
          <w:color w:val="020202"/>
          <w:spacing w:val="5"/>
          <w:sz w:val="32"/>
          <w:szCs w:val="32"/>
          <w:shd w:val="clear" w:fill="FFFFFF"/>
        </w:rPr>
        <w:t>随着法治与科技化进程的推进，在相关法律法规、部门规章及规范性文件的制定修订中，均考虑了保密要求</w:t>
      </w:r>
      <w:r>
        <w:rPr>
          <w:rFonts w:hint="eastAsia" w:ascii="仿宋" w:hAnsi="仿宋" w:eastAsia="仿宋" w:cs="仿宋"/>
          <w:b w:val="0"/>
          <w:i w:val="0"/>
          <w:caps w:val="0"/>
          <w:color w:val="020202"/>
          <w:spacing w:val="5"/>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b w:val="0"/>
          <w:i w:val="0"/>
          <w:caps w:val="0"/>
          <w:color w:val="020202"/>
          <w:spacing w:val="5"/>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Style w:val="6"/>
          <w:rFonts w:hint="eastAsia" w:ascii="仿宋" w:hAnsi="仿宋" w:eastAsia="仿宋" w:cs="仿宋"/>
          <w:sz w:val="32"/>
          <w:szCs w:val="32"/>
          <w:bdr w:val="none" w:color="auto" w:sz="0" w:space="0"/>
          <w:lang w:val="en-US" w:eastAsia="zh-CN"/>
        </w:rPr>
        <w:t>一、</w:t>
      </w:r>
      <w:r>
        <w:rPr>
          <w:rStyle w:val="6"/>
          <w:rFonts w:hint="eastAsia" w:ascii="仿宋" w:hAnsi="仿宋" w:eastAsia="仿宋" w:cs="仿宋"/>
          <w:sz w:val="32"/>
          <w:szCs w:val="32"/>
          <w:bdr w:val="none" w:color="auto" w:sz="0" w:space="0"/>
        </w:rPr>
        <w:t>审议通过的法律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《中华人民共和国监察法》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32"/>
          <w:szCs w:val="32"/>
        </w:rPr>
      </w:pPr>
      <w:r>
        <w:rPr>
          <w:rStyle w:val="6"/>
          <w:rFonts w:hint="eastAsia" w:ascii="仿宋" w:hAnsi="仿宋" w:eastAsia="仿宋" w:cs="仿宋"/>
          <w:color w:val="686666"/>
          <w:sz w:val="32"/>
          <w:szCs w:val="32"/>
          <w:bdr w:val="none" w:color="auto" w:sz="0" w:space="0"/>
        </w:rPr>
        <w:t>关于监察机关及其工作人员的保密义务，</w:t>
      </w:r>
      <w:r>
        <w:rPr>
          <w:rFonts w:hint="eastAsia" w:ascii="仿宋" w:hAnsi="仿宋" w:eastAsia="仿宋" w:cs="仿宋"/>
          <w:color w:val="686666"/>
          <w:sz w:val="32"/>
          <w:szCs w:val="32"/>
          <w:bdr w:val="none" w:color="auto" w:sz="0" w:space="0"/>
        </w:rPr>
        <w:t>第十八条规定：“监察机关及其工作人员对监督、调查过程中知悉的国家秘密、商业秘密、个人隐私，应当保密。”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32"/>
          <w:szCs w:val="32"/>
        </w:rPr>
      </w:pPr>
      <w:r>
        <w:rPr>
          <w:rStyle w:val="6"/>
          <w:rFonts w:hint="eastAsia" w:ascii="仿宋" w:hAnsi="仿宋" w:eastAsia="仿宋" w:cs="仿宋"/>
          <w:color w:val="686666"/>
          <w:sz w:val="32"/>
          <w:szCs w:val="32"/>
          <w:bdr w:val="none" w:color="auto" w:sz="0" w:space="0"/>
        </w:rPr>
        <w:t>对于监察机关涉密人员离岗离职，</w:t>
      </w:r>
      <w:r>
        <w:rPr>
          <w:rFonts w:hint="eastAsia" w:ascii="仿宋" w:hAnsi="仿宋" w:eastAsia="仿宋" w:cs="仿宋"/>
          <w:color w:val="686666"/>
          <w:sz w:val="32"/>
          <w:szCs w:val="32"/>
          <w:bdr w:val="none" w:color="auto" w:sz="0" w:space="0"/>
        </w:rPr>
        <w:t>第五十九条规定：“监察机关涉密人员离岗离职后，应当遵守脱密期管理规定，严格履行保密义务，不得泄露相关秘密。”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《中华人民共和国电子商务法》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32"/>
          <w:szCs w:val="32"/>
        </w:rPr>
      </w:pPr>
      <w:r>
        <w:rPr>
          <w:rFonts w:hint="eastAsia" w:ascii="仿宋" w:hAnsi="仿宋" w:eastAsia="仿宋" w:cs="仿宋"/>
          <w:sz w:val="32"/>
          <w:szCs w:val="32"/>
          <w:bdr w:val="none" w:color="auto" w:sz="0" w:space="0"/>
        </w:rPr>
        <w:t>第二十五条明确：“有关主管部门应当采取必要措施保护电子商务经营者提供的数据信息的安全，并对其中的个人信息、隐私和商业秘密严格保密，不得泄露、出售或者非法向他人提供。”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32"/>
          <w:szCs w:val="32"/>
        </w:rPr>
      </w:pPr>
      <w:r>
        <w:rPr>
          <w:rFonts w:hint="eastAsia" w:ascii="仿宋" w:hAnsi="仿宋" w:eastAsia="仿宋" w:cs="仿宋"/>
          <w:sz w:val="32"/>
          <w:szCs w:val="32"/>
          <w:bdr w:val="none" w:color="auto" w:sz="0" w:space="0"/>
        </w:rPr>
        <w:t>第三十一条进一步规定了电子商务平台经营者的保密责任，第八十七条也明确了电子商务监督管理部门工作人员的法律责任。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《中华人民共和国国际刑事司法协助法》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32"/>
          <w:szCs w:val="32"/>
        </w:rPr>
      </w:pPr>
      <w:r>
        <w:rPr>
          <w:rStyle w:val="6"/>
          <w:rFonts w:hint="eastAsia" w:ascii="仿宋" w:hAnsi="仿宋" w:eastAsia="仿宋" w:cs="仿宋"/>
          <w:sz w:val="32"/>
          <w:szCs w:val="32"/>
          <w:bdr w:val="none" w:color="auto" w:sz="0" w:space="0"/>
        </w:rPr>
        <w:t>若我方对执行请求有保密要求的，</w:t>
      </w:r>
      <w:r>
        <w:rPr>
          <w:rFonts w:hint="eastAsia" w:ascii="仿宋" w:hAnsi="仿宋" w:eastAsia="仿宋" w:cs="仿宋"/>
          <w:sz w:val="32"/>
          <w:szCs w:val="32"/>
          <w:bdr w:val="none" w:color="auto" w:sz="0" w:space="0"/>
        </w:rPr>
        <w:t>第十六条规定：“通过对外联系机关向外国提出，在外国接受条件并且作出书面保证后，决定附条件执行。”</w:t>
      </w:r>
      <w:r>
        <w:rPr>
          <w:rStyle w:val="6"/>
          <w:rFonts w:hint="eastAsia" w:ascii="仿宋" w:hAnsi="仿宋" w:eastAsia="仿宋" w:cs="仿宋"/>
          <w:sz w:val="32"/>
          <w:szCs w:val="32"/>
          <w:bdr w:val="none" w:color="auto" w:sz="0" w:space="0"/>
        </w:rPr>
        <w:t>外方对执行其请求有保密要求的，</w:t>
      </w:r>
      <w:r>
        <w:rPr>
          <w:rFonts w:hint="eastAsia" w:ascii="仿宋" w:hAnsi="仿宋" w:eastAsia="仿宋" w:cs="仿宋"/>
          <w:sz w:val="32"/>
          <w:szCs w:val="32"/>
          <w:bdr w:val="none" w:color="auto" w:sz="0" w:space="0"/>
        </w:rPr>
        <w:t>“在不违反中华人民共和国法律的基本原则的情况下，主管机关可以按照其要求安排执行”。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Style w:val="6"/>
          <w:rFonts w:hint="eastAsia" w:ascii="仿宋" w:hAnsi="仿宋" w:eastAsia="仿宋" w:cs="仿宋"/>
          <w:sz w:val="32"/>
          <w:szCs w:val="32"/>
          <w:bdr w:val="none" w:color="auto" w:sz="0" w:space="0"/>
          <w:lang w:val="en-US" w:eastAsia="zh-CN"/>
        </w:rPr>
        <w:t>二、</w:t>
      </w:r>
      <w:r>
        <w:rPr>
          <w:rStyle w:val="6"/>
          <w:rFonts w:hint="eastAsia" w:ascii="仿宋" w:hAnsi="仿宋" w:eastAsia="仿宋" w:cs="仿宋"/>
          <w:sz w:val="32"/>
          <w:szCs w:val="32"/>
          <w:bdr w:val="none" w:color="auto" w:sz="0" w:space="0"/>
        </w:rPr>
        <w:t>新出台法规与部门规章</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drawing>
          <wp:inline distT="0" distB="0" distL="114300" distR="114300">
            <wp:extent cx="304800" cy="3048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仿宋" w:hAnsi="仿宋" w:eastAsia="仿宋" w:cs="仿宋"/>
          <w:kern w:val="0"/>
          <w:sz w:val="32"/>
          <w:szCs w:val="32"/>
          <w:bdr w:val="none" w:color="auto" w:sz="0" w:space="0"/>
          <w:lang w:val="en-US" w:eastAsia="zh-CN" w:bidi="ar"/>
        </w:rPr>
        <w:drawing>
          <wp:inline distT="0" distB="0" distL="114300" distR="114300">
            <wp:extent cx="304800" cy="304800"/>
            <wp:effectExtent l="0" t="0" r="0" b="0"/>
            <wp:docPr id="9"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IMG_25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国务院行政法规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《人力资源市场暂行条例》</w:t>
      </w:r>
      <w:r>
        <w:rPr>
          <w:rFonts w:hint="eastAsia" w:ascii="仿宋" w:hAnsi="仿宋" w:eastAsia="仿宋" w:cs="仿宋"/>
          <w:spacing w:val="0"/>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32"/>
          <w:szCs w:val="32"/>
        </w:rPr>
      </w:pPr>
      <w:r>
        <w:rPr>
          <w:rStyle w:val="6"/>
          <w:rFonts w:hint="eastAsia" w:ascii="仿宋" w:hAnsi="仿宋" w:eastAsia="仿宋" w:cs="仿宋"/>
          <w:sz w:val="32"/>
          <w:szCs w:val="32"/>
          <w:bdr w:val="none" w:color="auto" w:sz="0" w:space="0"/>
        </w:rPr>
        <w:t>在人力资源流动方面，</w:t>
      </w:r>
      <w:r>
        <w:rPr>
          <w:rFonts w:hint="eastAsia" w:ascii="仿宋" w:hAnsi="仿宋" w:eastAsia="仿宋" w:cs="仿宋"/>
          <w:sz w:val="32"/>
          <w:szCs w:val="32"/>
          <w:bdr w:val="none" w:color="auto" w:sz="0" w:space="0"/>
        </w:rPr>
        <w:t>第二十五条规定：“人力资源流动，应当遵守法律、法规对服务期、从业限制、保密等方面的规定。”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32"/>
          <w:szCs w:val="32"/>
        </w:rPr>
      </w:pPr>
      <w:r>
        <w:rPr>
          <w:rStyle w:val="6"/>
          <w:rFonts w:hint="eastAsia" w:ascii="仿宋" w:hAnsi="仿宋" w:eastAsia="仿宋" w:cs="仿宋"/>
          <w:sz w:val="32"/>
          <w:szCs w:val="32"/>
          <w:bdr w:val="none" w:color="auto" w:sz="0" w:space="0"/>
        </w:rPr>
        <w:t>关于人力资源服务机构的保密义务，</w:t>
      </w:r>
      <w:r>
        <w:rPr>
          <w:rFonts w:hint="eastAsia" w:ascii="仿宋" w:hAnsi="仿宋" w:eastAsia="仿宋" w:cs="仿宋"/>
          <w:sz w:val="32"/>
          <w:szCs w:val="32"/>
          <w:bdr w:val="none" w:color="auto" w:sz="0" w:space="0"/>
        </w:rPr>
        <w:t>第二十九条规定：“人力资源服务机构在业务活动中收集用人单位和个人信息的，不得泄露或者违法使用所知悉的商业秘密和个人信息。”</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drawing>
          <wp:inline distT="0" distB="0" distL="114300" distR="114300">
            <wp:extent cx="304800" cy="304800"/>
            <wp:effectExtent l="0" t="0" r="0" b="0"/>
            <wp:docPr id="10"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IMG_259"/>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仿宋" w:hAnsi="仿宋" w:eastAsia="仿宋" w:cs="仿宋"/>
          <w:kern w:val="0"/>
          <w:sz w:val="32"/>
          <w:szCs w:val="32"/>
          <w:bdr w:val="none" w:color="auto" w:sz="0" w:space="0"/>
          <w:lang w:val="en-US" w:eastAsia="zh-CN" w:bidi="ar"/>
        </w:rPr>
        <w:drawing>
          <wp:inline distT="0" distB="0" distL="114300" distR="114300">
            <wp:extent cx="304800" cy="304800"/>
            <wp:effectExtent l="0" t="0" r="0" b="0"/>
            <wp:docPr id="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国务院印发的规范性文件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《科学数据管理办法》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32"/>
          <w:szCs w:val="32"/>
        </w:rPr>
      </w:pPr>
      <w:r>
        <w:rPr>
          <w:rFonts w:hint="eastAsia" w:ascii="仿宋" w:hAnsi="仿宋" w:eastAsia="仿宋" w:cs="仿宋"/>
          <w:sz w:val="32"/>
          <w:szCs w:val="32"/>
          <w:bdr w:val="none" w:color="auto" w:sz="0" w:space="0"/>
        </w:rPr>
        <w:t>第十五条规定：“社会资金资助形成的涉及国家秘密、国家安全和社会公共利益的科学数据必须按照有关规定予以汇交。”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32"/>
          <w:szCs w:val="32"/>
        </w:rPr>
      </w:pPr>
      <w:r>
        <w:rPr>
          <w:rStyle w:val="6"/>
          <w:rFonts w:hint="eastAsia" w:ascii="仿宋" w:hAnsi="仿宋" w:eastAsia="仿宋" w:cs="仿宋"/>
          <w:sz w:val="32"/>
          <w:szCs w:val="32"/>
          <w:bdr w:val="none" w:color="auto" w:sz="0" w:space="0"/>
        </w:rPr>
        <w:t>该办法专门设置了第五章“保密与安全”，</w:t>
      </w:r>
      <w:r>
        <w:rPr>
          <w:rFonts w:hint="eastAsia" w:ascii="仿宋" w:hAnsi="仿宋" w:eastAsia="仿宋" w:cs="仿宋"/>
          <w:sz w:val="32"/>
          <w:szCs w:val="32"/>
          <w:bdr w:val="none" w:color="auto" w:sz="0" w:space="0"/>
        </w:rPr>
        <w:t>用5则条文分别规定了科学数据的对外开放和知悉范围，涉及国家秘密的科学数据管理与使用，对外提供科学数据的安全保密审查制度等。</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drawing>
          <wp:inline distT="0" distB="0" distL="114300" distR="114300">
            <wp:extent cx="304800" cy="304800"/>
            <wp:effectExtent l="0" t="0" r="0" b="0"/>
            <wp:docPr id="8"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IMG_261"/>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仿宋" w:hAnsi="仿宋" w:eastAsia="仿宋" w:cs="仿宋"/>
          <w:kern w:val="0"/>
          <w:sz w:val="32"/>
          <w:szCs w:val="32"/>
          <w:bdr w:val="none" w:color="auto" w:sz="0" w:space="0"/>
          <w:lang w:val="en-US" w:eastAsia="zh-CN" w:bidi="ar"/>
        </w:rPr>
        <w:drawing>
          <wp:inline distT="0" distB="0" distL="114300" distR="114300">
            <wp:extent cx="304800" cy="304800"/>
            <wp:effectExtent l="0" t="0" r="0" b="0"/>
            <wp:docPr id="3"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IMG_262"/>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两部专门的保密规章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pacing w:val="0"/>
          <w:sz w:val="32"/>
          <w:szCs w:val="32"/>
          <w:bdr w:val="none" w:color="auto" w:sz="0" w:space="0"/>
        </w:rPr>
        <w:t>《国家科学技术秘密持有单位管理办法》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pacing w:val="0"/>
          <w:sz w:val="32"/>
          <w:szCs w:val="32"/>
          <w:bdr w:val="none" w:color="auto" w:sz="0" w:space="0"/>
        </w:rPr>
        <w:t>《国家科学技术秘密定密管理办法》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32"/>
          <w:szCs w:val="32"/>
        </w:rPr>
      </w:pPr>
      <w:r>
        <w:rPr>
          <w:rFonts w:hint="eastAsia" w:ascii="仿宋" w:hAnsi="仿宋" w:eastAsia="仿宋" w:cs="仿宋"/>
          <w:sz w:val="32"/>
          <w:szCs w:val="32"/>
          <w:bdr w:val="none" w:color="auto" w:sz="0" w:space="0"/>
        </w:rPr>
        <w:t>前者由科技部和国家保密局联合印发，对保密工作责任制、工作保障条件、档案归档工作、涉密科学技术项目保密管理、宣传报道等作出了系统规定。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32"/>
          <w:szCs w:val="32"/>
        </w:rPr>
      </w:pPr>
      <w:r>
        <w:rPr>
          <w:rFonts w:hint="eastAsia" w:ascii="仿宋" w:hAnsi="仿宋" w:eastAsia="仿宋" w:cs="仿宋"/>
          <w:spacing w:val="0"/>
          <w:sz w:val="32"/>
          <w:szCs w:val="32"/>
          <w:bdr w:val="none" w:color="auto" w:sz="0" w:space="0"/>
        </w:rPr>
        <w:t>后者由科技部印发，规定了科学技术定密工作中，定密及定密责任人的确定、定密授权、备案和监督等工作的原则，以及定密授权等事项。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p>
    <w:p>
      <w:pPr>
        <w:keepNext w:val="0"/>
        <w:keepLines w:val="0"/>
        <w:widowControl/>
        <w:suppressLineNumbers w:val="0"/>
        <w:jc w:val="left"/>
        <w:rPr>
          <w:rFonts w:hint="eastAsia" w:ascii="仿宋" w:hAnsi="仿宋" w:eastAsia="仿宋" w:cs="仿宋"/>
          <w:sz w:val="32"/>
          <w:szCs w:val="32"/>
        </w:rPr>
      </w:pPr>
    </w:p>
    <w:p>
      <w:pPr>
        <w:keepNext w:val="0"/>
        <w:keepLines w:val="0"/>
        <w:widowControl/>
        <w:suppressLineNumbers w:val="0"/>
        <w:jc w:val="left"/>
        <w:rPr>
          <w:rFonts w:hint="eastAsia" w:ascii="仿宋" w:hAnsi="仿宋" w:eastAsia="仿宋" w:cs="仿宋"/>
          <w:sz w:val="32"/>
          <w:szCs w:val="32"/>
        </w:rPr>
      </w:pPr>
    </w:p>
    <w:p>
      <w:pPr>
        <w:keepNext w:val="0"/>
        <w:keepLines w:val="0"/>
        <w:widowControl/>
        <w:suppressLineNumbers w:val="0"/>
        <w:jc w:val="left"/>
        <w:rPr>
          <w:rFonts w:hint="eastAsia" w:ascii="仿宋" w:hAnsi="仿宋" w:eastAsia="仿宋" w:cs="仿宋"/>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各部委颁发的8项部门规章</w:t>
      </w:r>
    </w:p>
    <w:tbl>
      <w:tblPr>
        <w:tblW w:w="81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624"/>
        <w:gridCol w:w="64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624" w:type="dxa"/>
            <w:tcBorders>
              <w:top w:val="nil"/>
              <w:left w:val="nil"/>
              <w:bottom w:val="nil"/>
              <w:right w:val="nil"/>
            </w:tcBorders>
            <w:shd w:val="clear"/>
            <w:tcMar>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4月</w:t>
            </w:r>
          </w:p>
        </w:tc>
        <w:tc>
          <w:tcPr>
            <w:tcW w:w="6498" w:type="dxa"/>
            <w:tcBorders>
              <w:top w:val="nil"/>
              <w:left w:val="single" w:color="D4B36C" w:sz="24" w:space="0"/>
              <w:bottom w:val="nil"/>
              <w:right w:val="nil"/>
            </w:tcBorders>
            <w:shd w:val="clear"/>
            <w:tcMar>
              <w:lef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生态环境部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《环境影响评价公众参与办法》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624" w:type="dxa"/>
            <w:tcBorders>
              <w:top w:val="nil"/>
              <w:left w:val="nil"/>
              <w:bottom w:val="nil"/>
              <w:right w:val="nil"/>
            </w:tcBorders>
            <w:shd w:val="clear"/>
            <w:tcMar>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6月</w:t>
            </w:r>
          </w:p>
        </w:tc>
        <w:tc>
          <w:tcPr>
            <w:tcW w:w="6498" w:type="dxa"/>
            <w:tcBorders>
              <w:top w:val="nil"/>
              <w:left w:val="single" w:color="D4B36C" w:sz="24" w:space="0"/>
              <w:bottom w:val="nil"/>
              <w:right w:val="nil"/>
            </w:tcBorders>
            <w:shd w:val="clear"/>
            <w:tcMar>
              <w:lef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国家广播电视总局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《广播电视设备器材入网认定管理办法》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624" w:type="dxa"/>
            <w:tcBorders>
              <w:top w:val="nil"/>
              <w:left w:val="nil"/>
              <w:bottom w:val="nil"/>
              <w:right w:val="nil"/>
            </w:tcBorders>
            <w:shd w:val="clear"/>
            <w:tcMar>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7月</w:t>
            </w:r>
          </w:p>
        </w:tc>
        <w:tc>
          <w:tcPr>
            <w:tcW w:w="6498" w:type="dxa"/>
            <w:tcBorders>
              <w:top w:val="nil"/>
              <w:left w:val="single" w:color="D4B36C" w:sz="24" w:space="0"/>
              <w:bottom w:val="nil"/>
              <w:right w:val="nil"/>
            </w:tcBorders>
            <w:shd w:val="clear"/>
            <w:tcMar>
              <w:lef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民政部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《慈善组织信息公开办法》</w:t>
            </w:r>
          </w:p>
        </w:tc>
      </w:tr>
    </w:tbl>
    <w:p>
      <w:pPr>
        <w:rPr>
          <w:rFonts w:hint="eastAsia" w:ascii="仿宋" w:hAnsi="仿宋" w:eastAsia="仿宋" w:cs="仿宋"/>
          <w:vanish/>
          <w:sz w:val="32"/>
          <w:szCs w:val="32"/>
        </w:rPr>
      </w:pPr>
    </w:p>
    <w:tbl>
      <w:tblPr>
        <w:tblW w:w="81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624"/>
        <w:gridCol w:w="64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624" w:type="dxa"/>
            <w:tcBorders>
              <w:top w:val="nil"/>
              <w:left w:val="nil"/>
              <w:bottom w:val="nil"/>
              <w:right w:val="nil"/>
            </w:tcBorders>
            <w:shd w:val="clear"/>
            <w:tcMar>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8月</w:t>
            </w:r>
          </w:p>
        </w:tc>
        <w:tc>
          <w:tcPr>
            <w:tcW w:w="6498" w:type="dxa"/>
            <w:tcBorders>
              <w:top w:val="nil"/>
              <w:left w:val="single" w:color="D4B36C" w:sz="24" w:space="0"/>
              <w:bottom w:val="nil"/>
              <w:right w:val="nil"/>
            </w:tcBorders>
            <w:shd w:val="clear"/>
            <w:tcMar>
              <w:lef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交通运输部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《铁路工程建设项目招标投标管理办法》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624" w:type="dxa"/>
            <w:tcBorders>
              <w:top w:val="nil"/>
              <w:left w:val="nil"/>
              <w:bottom w:val="nil"/>
              <w:right w:val="nil"/>
            </w:tcBorders>
            <w:shd w:val="clear"/>
            <w:tcMar>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9月</w:t>
            </w:r>
          </w:p>
        </w:tc>
        <w:tc>
          <w:tcPr>
            <w:tcW w:w="6498" w:type="dxa"/>
            <w:tcBorders>
              <w:top w:val="nil"/>
              <w:left w:val="single" w:color="D4B36C" w:sz="24" w:space="0"/>
              <w:bottom w:val="nil"/>
              <w:right w:val="nil"/>
            </w:tcBorders>
            <w:shd w:val="clear"/>
            <w:tcMar>
              <w:lef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公安部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《公安机关互联网安全监督检查规定》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624" w:type="dxa"/>
            <w:tcBorders>
              <w:top w:val="nil"/>
              <w:left w:val="nil"/>
              <w:bottom w:val="nil"/>
              <w:right w:val="nil"/>
            </w:tcBorders>
            <w:shd w:val="clear"/>
            <w:tcMar>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10月</w:t>
            </w:r>
          </w:p>
        </w:tc>
        <w:tc>
          <w:tcPr>
            <w:tcW w:w="6498" w:type="dxa"/>
            <w:tcBorders>
              <w:top w:val="nil"/>
              <w:left w:val="single" w:color="D4B36C" w:sz="24" w:space="0"/>
              <w:bottom w:val="nil"/>
              <w:right w:val="nil"/>
            </w:tcBorders>
            <w:shd w:val="clear"/>
            <w:tcMar>
              <w:lef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交通运输部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《邮件快件实名收寄管理办法》</w:t>
            </w:r>
          </w:p>
        </w:tc>
      </w:tr>
    </w:tbl>
    <w:p>
      <w:pPr>
        <w:rPr>
          <w:rFonts w:hint="eastAsia" w:ascii="仿宋" w:hAnsi="仿宋" w:eastAsia="仿宋" w:cs="仿宋"/>
          <w:vanish/>
          <w:sz w:val="32"/>
          <w:szCs w:val="32"/>
        </w:rPr>
      </w:pPr>
    </w:p>
    <w:tbl>
      <w:tblPr>
        <w:tblW w:w="81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624"/>
        <w:gridCol w:w="64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624" w:type="dxa"/>
            <w:tcBorders>
              <w:top w:val="nil"/>
              <w:left w:val="nil"/>
              <w:bottom w:val="nil"/>
              <w:right w:val="nil"/>
            </w:tcBorders>
            <w:shd w:val="clear"/>
            <w:tcMar>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10月</w:t>
            </w:r>
          </w:p>
        </w:tc>
        <w:tc>
          <w:tcPr>
            <w:tcW w:w="6498" w:type="dxa"/>
            <w:tcBorders>
              <w:top w:val="nil"/>
              <w:left w:val="single" w:color="D4B36C" w:sz="24" w:space="0"/>
              <w:bottom w:val="nil"/>
              <w:right w:val="nil"/>
            </w:tcBorders>
            <w:shd w:val="clear"/>
            <w:tcMar>
              <w:lef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国家档案局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《机关档案管理规定》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624" w:type="dxa"/>
            <w:tcBorders>
              <w:top w:val="nil"/>
              <w:left w:val="nil"/>
              <w:bottom w:val="nil"/>
              <w:right w:val="nil"/>
            </w:tcBorders>
            <w:shd w:val="clear"/>
            <w:tcMar>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11月</w:t>
            </w:r>
          </w:p>
        </w:tc>
        <w:tc>
          <w:tcPr>
            <w:tcW w:w="6498" w:type="dxa"/>
            <w:tcBorders>
              <w:top w:val="nil"/>
              <w:left w:val="single" w:color="D4B36C" w:sz="24" w:space="0"/>
              <w:bottom w:val="nil"/>
              <w:right w:val="nil"/>
            </w:tcBorders>
            <w:shd w:val="clear"/>
            <w:tcMar>
              <w:lef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国家互联网信息办公室和公安部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《具有舆论属性或社会动员能力的互联网信息服务安全评估规定》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624" w:type="dxa"/>
            <w:tcBorders>
              <w:top w:val="nil"/>
              <w:left w:val="nil"/>
              <w:bottom w:val="nil"/>
              <w:right w:val="nil"/>
            </w:tcBorders>
            <w:shd w:val="clear"/>
            <w:tcMar>
              <w:right w:w="60" w:type="dxa"/>
            </w:tcMar>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32"/>
                <w:szCs w:val="32"/>
              </w:rPr>
            </w:pPr>
          </w:p>
        </w:tc>
        <w:tc>
          <w:tcPr>
            <w:tcW w:w="6498" w:type="dxa"/>
            <w:tcBorders>
              <w:top w:val="nil"/>
              <w:left w:val="single" w:color="D4B36C" w:sz="24" w:space="0"/>
              <w:bottom w:val="nil"/>
              <w:right w:val="nil"/>
            </w:tcBorders>
            <w:shd w:val="clear"/>
            <w:tcMar>
              <w:left w:w="60" w:type="dxa"/>
            </w:tcMar>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32"/>
                <w:szCs w:val="32"/>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32"/>
          <w:szCs w:val="32"/>
        </w:rPr>
      </w:pPr>
      <w:r>
        <w:rPr>
          <w:rFonts w:hint="eastAsia" w:ascii="仿宋" w:hAnsi="仿宋" w:eastAsia="仿宋" w:cs="仿宋"/>
          <w:sz w:val="32"/>
          <w:szCs w:val="32"/>
          <w:bdr w:val="none" w:color="auto" w:sz="0" w:space="0"/>
        </w:rPr>
        <w:t>8个部门规章的保密规定各有侧重，一是对相关管理领域涉及国家秘密的事项，作出不得公开的规定，同时兼顾了对商业秘密、个人信息和隐私的保护，规定了公开的限制性条件和程序；二是提出对用户（个人）信息的保护；三是进一步明确专业和技术领域中涉密信息的保护办法。</w:t>
      </w:r>
    </w:p>
    <w:p>
      <w:pPr>
        <w:keepNext w:val="0"/>
        <w:keepLines w:val="0"/>
        <w:widowControl/>
        <w:suppressLineNumbers w:val="0"/>
        <w:jc w:val="left"/>
        <w:rPr>
          <w:rFonts w:hint="eastAsia" w:ascii="仿宋" w:hAnsi="仿宋" w:eastAsia="仿宋" w:cs="仿宋"/>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Style w:val="6"/>
          <w:rFonts w:hint="eastAsia" w:ascii="仿宋" w:hAnsi="仿宋" w:eastAsia="仿宋" w:cs="仿宋"/>
          <w:sz w:val="32"/>
          <w:szCs w:val="32"/>
          <w:bdr w:val="none" w:color="auto" w:sz="0" w:space="0"/>
          <w:lang w:val="en-US" w:eastAsia="zh-CN"/>
        </w:rPr>
        <w:t>三、</w:t>
      </w:r>
      <w:r>
        <w:rPr>
          <w:rStyle w:val="6"/>
          <w:rFonts w:hint="eastAsia" w:ascii="仿宋" w:hAnsi="仿宋" w:eastAsia="仿宋" w:cs="仿宋"/>
          <w:sz w:val="32"/>
          <w:szCs w:val="32"/>
          <w:bdr w:val="none" w:color="auto" w:sz="0" w:space="0"/>
        </w:rPr>
        <w:t>党内法规中的保密规定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新修订的《中国共产党纪律处分条例》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32"/>
          <w:szCs w:val="32"/>
        </w:rPr>
      </w:pPr>
      <w:r>
        <w:rPr>
          <w:rStyle w:val="6"/>
          <w:rFonts w:hint="eastAsia" w:ascii="仿宋" w:hAnsi="仿宋" w:eastAsia="仿宋" w:cs="仿宋"/>
          <w:sz w:val="32"/>
          <w:szCs w:val="32"/>
          <w:bdr w:val="none" w:color="auto" w:sz="0" w:space="0"/>
        </w:rPr>
        <w:t>吸收了党的十八大以来反腐败工作经验，加强了保密纪律建设，</w:t>
      </w:r>
      <w:r>
        <w:rPr>
          <w:rFonts w:hint="eastAsia" w:ascii="仿宋" w:hAnsi="仿宋" w:eastAsia="仿宋" w:cs="仿宋"/>
          <w:sz w:val="32"/>
          <w:szCs w:val="32"/>
          <w:bdr w:val="none" w:color="auto" w:sz="0" w:space="0"/>
        </w:rPr>
        <w:t>如第一百二十八条：“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32"/>
          <w:szCs w:val="32"/>
        </w:rPr>
      </w:pPr>
      <w:r>
        <w:rPr>
          <w:rFonts w:hint="eastAsia" w:ascii="仿宋" w:hAnsi="仿宋" w:eastAsia="仿宋" w:cs="仿宋"/>
          <w:sz w:val="32"/>
          <w:szCs w:val="32"/>
          <w:bdr w:val="none" w:color="auto" w:sz="0" w:space="0"/>
        </w:rPr>
        <w:t>对批评、检举、控告进行阻挠、压制，或者将相关材料私自扣压、销毁，或者故意将其泄露给他人的，或在考试、录取工作中，有泄露试题等违反有关规定行为的，分别视情节予以处理。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中央办公厅印发的《干部人事档案工作条例》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32"/>
          <w:szCs w:val="32"/>
        </w:rPr>
      </w:pPr>
      <w:r>
        <w:rPr>
          <w:rStyle w:val="6"/>
          <w:rFonts w:hint="eastAsia" w:ascii="仿宋" w:hAnsi="仿宋" w:eastAsia="仿宋" w:cs="仿宋"/>
          <w:sz w:val="32"/>
          <w:szCs w:val="32"/>
          <w:bdr w:val="none" w:color="auto" w:sz="0" w:space="0"/>
        </w:rPr>
        <w:t>其中有3处与保密相关的内容，</w:t>
      </w:r>
      <w:r>
        <w:rPr>
          <w:rFonts w:hint="eastAsia" w:ascii="仿宋" w:hAnsi="仿宋" w:eastAsia="仿宋" w:cs="仿宋"/>
          <w:sz w:val="32"/>
          <w:szCs w:val="32"/>
          <w:bdr w:val="none" w:color="auto" w:sz="0" w:space="0"/>
        </w:rPr>
        <w:t>一是将“保密工作”确定为干部人事档案日常管理的重要环节；二是明确档案数字化过程中，人事部门及其干部人事档案工作机构在档案利用、转递和保密等方面按照纸质档案相关要求管理；三是将保密作为开展干部人事档案工作必须遵守的纪律之一，“严禁泄露或者擅自对外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drawing>
          <wp:inline distT="0" distB="0" distL="114300" distR="114300">
            <wp:extent cx="304800" cy="304800"/>
            <wp:effectExtent l="0" t="0" r="0" b="0"/>
            <wp:docPr id="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descr="IMG_26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642FC8"/>
    <w:rsid w:val="510234AE"/>
    <w:rsid w:val="7B642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2019-07-30T03:03:00Z</dcterms:created>
  <dc:creator>Administrator</dc:creator>
  <cp:lastModifiedBy>Administrator</cp:lastModifiedBy>
  <dcterms:modified xsi:type="dcterms:W3CDTF">2019-07-30T03:31:34Z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