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48" w:rsidRDefault="00600DAD">
      <w:pPr>
        <w:pStyle w:val="af0"/>
        <w:shd w:val="clear" w:color="000000" w:fill="FFFFFF"/>
        <w:spacing w:line="640" w:lineRule="exact"/>
        <w:ind w:firstLine="420"/>
        <w:jc w:val="center"/>
        <w:rPr>
          <w:rFonts w:ascii="方正小标宋简体" w:eastAsia="方正小标宋简体" w:hAnsi="方正小标宋简体"/>
          <w:color w:val="333333"/>
          <w:sz w:val="44"/>
          <w:szCs w:val="44"/>
        </w:rPr>
      </w:pPr>
      <w:r>
        <w:rPr>
          <w:rFonts w:ascii="方正小标宋简体" w:eastAsia="方正小标宋简体" w:hAnsi="方正小标宋简体"/>
          <w:color w:val="333333"/>
          <w:sz w:val="44"/>
          <w:szCs w:val="44"/>
        </w:rPr>
        <w:t>天津市总工会关于新建会民营企业</w:t>
      </w:r>
    </w:p>
    <w:p w:rsidR="00B83C48" w:rsidRDefault="00600DAD">
      <w:pPr>
        <w:pStyle w:val="af0"/>
        <w:shd w:val="clear" w:color="000000" w:fill="FFFFFF"/>
        <w:spacing w:line="640" w:lineRule="exact"/>
        <w:ind w:firstLine="420"/>
        <w:jc w:val="center"/>
        <w:rPr>
          <w:rFonts w:ascii="方正小标宋简体" w:eastAsia="方正小标宋简体" w:hAnsi="方正小标宋简体"/>
          <w:color w:val="333333"/>
          <w:sz w:val="44"/>
          <w:szCs w:val="44"/>
        </w:rPr>
      </w:pPr>
      <w:r>
        <w:rPr>
          <w:rFonts w:ascii="方正小标宋简体" w:eastAsia="方正小标宋简体" w:hAnsi="方正小标宋简体"/>
          <w:color w:val="333333"/>
          <w:sz w:val="44"/>
          <w:szCs w:val="44"/>
        </w:rPr>
        <w:t>回拨工会经费实施细则（试行）</w:t>
      </w:r>
    </w:p>
    <w:p w:rsidR="00B83C48" w:rsidRDefault="00600DAD">
      <w:pPr>
        <w:pStyle w:val="af0"/>
        <w:shd w:val="clear" w:color="000000" w:fill="FFFFFF"/>
        <w:spacing w:line="555" w:lineRule="atLeast"/>
        <w:ind w:firstLine="420"/>
        <w:jc w:val="left"/>
        <w:rPr>
          <w:rFonts w:ascii="微软雅黑" w:eastAsia="微软雅黑" w:hAnsi="微软雅黑"/>
          <w:color w:val="333333"/>
          <w:sz w:val="21"/>
          <w:szCs w:val="21"/>
        </w:rPr>
      </w:pPr>
      <w:r>
        <w:rPr>
          <w:rFonts w:ascii="仿宋_GB2312" w:eastAsia="仿宋_GB2312" w:hAnsi="仿宋_GB2312"/>
          <w:color w:val="333333"/>
          <w:sz w:val="32"/>
          <w:szCs w:val="32"/>
        </w:rPr>
        <w:t> </w:t>
      </w:r>
    </w:p>
    <w:p w:rsidR="00B83C48" w:rsidRDefault="00600DAD">
      <w:pPr>
        <w:spacing w:line="560" w:lineRule="exact"/>
        <w:jc w:val="center"/>
        <w:rPr>
          <w:rFonts w:ascii="方正黑体简体" w:eastAsia="方正黑体简体" w:hAnsi="方正黑体简体"/>
          <w:sz w:val="34"/>
          <w:szCs w:val="34"/>
        </w:rPr>
      </w:pPr>
      <w:r>
        <w:rPr>
          <w:rFonts w:ascii="方正黑体简体" w:eastAsia="方正黑体简体" w:hAnsi="方正黑体简体"/>
          <w:sz w:val="34"/>
          <w:szCs w:val="34"/>
        </w:rPr>
        <w:t>第一章　总　则</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第一条</w:t>
      </w:r>
      <w:r>
        <w:rPr>
          <w:rFonts w:ascii="方正仿宋简体" w:eastAsia="方正仿宋简体" w:hAnsi="方正仿宋简体"/>
          <w:sz w:val="34"/>
          <w:szCs w:val="34"/>
        </w:rPr>
        <w:t xml:space="preserve">　为深入贯彻《天津市总工会关于农民工入会两新组织建会实施方案》精神，做好对2019年新建立工会组织的民营企业回拨工会经费有关工作，结合我市工会的实际，制定本实施细则。</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第二条</w:t>
      </w:r>
      <w:r>
        <w:rPr>
          <w:rFonts w:ascii="方正仿宋简体" w:eastAsia="方正仿宋简体" w:hAnsi="方正仿宋简体"/>
          <w:sz w:val="34"/>
          <w:szCs w:val="34"/>
        </w:rPr>
        <w:t xml:space="preserve">　本实施细则适用于2019年年内新建立工会组织的民营企业，主要包括私营企业、私营独资企业、私营合伙企业、私营有限责任公司、个人独资及合伙企业等。</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第三条</w:t>
      </w:r>
      <w:r>
        <w:rPr>
          <w:rFonts w:ascii="方正仿宋简体" w:eastAsia="方正仿宋简体" w:hAnsi="方正仿宋简体"/>
          <w:sz w:val="34"/>
          <w:szCs w:val="34"/>
        </w:rPr>
        <w:t xml:space="preserve">　本实施细则所指回拨的工会经费为新建会民营企业自2019年起至2021年止，缴纳的工会经费中由市总工会本级按比例实际留成的全部经费。</w:t>
      </w:r>
    </w:p>
    <w:p w:rsidR="00B83C48" w:rsidRDefault="00B83C48">
      <w:pPr>
        <w:spacing w:line="560" w:lineRule="exact"/>
        <w:jc w:val="center"/>
        <w:rPr>
          <w:rFonts w:ascii="方正黑体简体" w:eastAsia="方正黑体简体" w:hAnsi="方正黑体简体"/>
          <w:sz w:val="34"/>
          <w:szCs w:val="34"/>
        </w:rPr>
      </w:pPr>
    </w:p>
    <w:p w:rsidR="00B83C48" w:rsidRDefault="00600DAD">
      <w:pPr>
        <w:spacing w:line="560" w:lineRule="exact"/>
        <w:jc w:val="center"/>
        <w:rPr>
          <w:rFonts w:ascii="方正黑体简体" w:eastAsia="方正黑体简体" w:hAnsi="方正黑体简体"/>
          <w:sz w:val="34"/>
          <w:szCs w:val="34"/>
        </w:rPr>
      </w:pPr>
      <w:r>
        <w:rPr>
          <w:rFonts w:ascii="方正黑体简体" w:eastAsia="方正黑体简体" w:hAnsi="方正黑体简体"/>
          <w:sz w:val="34"/>
          <w:szCs w:val="34"/>
        </w:rPr>
        <w:t>第二章　新建会民营企业的确认</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第四条</w:t>
      </w:r>
      <w:r>
        <w:rPr>
          <w:rFonts w:ascii="方正仿宋简体" w:eastAsia="方正仿宋简体" w:hAnsi="方正仿宋简体"/>
          <w:sz w:val="34"/>
          <w:szCs w:val="34"/>
        </w:rPr>
        <w:t xml:space="preserve">　由新建会民营企业所属区、局、集团公司工会负责梳理、确认单位名单，并及时组织相关单位完成税务代收工会经费的信息采集工作。</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第五条</w:t>
      </w:r>
      <w:r>
        <w:rPr>
          <w:rFonts w:ascii="方正仿宋简体" w:eastAsia="方正仿宋简体" w:hAnsi="方正仿宋简体"/>
          <w:sz w:val="34"/>
          <w:szCs w:val="34"/>
        </w:rPr>
        <w:t xml:space="preserve">　各区、局、集团公司工会审核确认单位名单，并填制《新建会民营企业情况汇总确认表》（附件），分别</w:t>
      </w:r>
      <w:r>
        <w:rPr>
          <w:rFonts w:ascii="方正仿宋简体" w:eastAsia="方正仿宋简体" w:hAnsi="方正仿宋简体"/>
          <w:sz w:val="34"/>
          <w:szCs w:val="34"/>
        </w:rPr>
        <w:lastRenderedPageBreak/>
        <w:t>于2019年7月、2020年1月底前，将纸质盖章版及电子版报送市总财务资产管理部。</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第六条</w:t>
      </w:r>
      <w:r>
        <w:rPr>
          <w:rFonts w:ascii="方正仿宋简体" w:eastAsia="方正仿宋简体" w:hAnsi="方正仿宋简体"/>
          <w:sz w:val="34"/>
          <w:szCs w:val="34"/>
        </w:rPr>
        <w:t xml:space="preserve">  市总财务资产管理部将各单位报送的确认表汇总后，作为回拨工会经费的依据。</w:t>
      </w:r>
    </w:p>
    <w:p w:rsidR="00B83C48" w:rsidRDefault="00B83C48">
      <w:pPr>
        <w:spacing w:line="560" w:lineRule="exact"/>
        <w:rPr>
          <w:rFonts w:ascii="方正仿宋简体" w:eastAsia="方正仿宋简体" w:hAnsi="方正仿宋简体"/>
          <w:sz w:val="34"/>
          <w:szCs w:val="34"/>
        </w:rPr>
      </w:pPr>
    </w:p>
    <w:p w:rsidR="00B83C48" w:rsidRDefault="00600DAD">
      <w:pPr>
        <w:spacing w:line="560" w:lineRule="exact"/>
        <w:jc w:val="center"/>
        <w:rPr>
          <w:rFonts w:ascii="方正黑体简体" w:eastAsia="方正黑体简体" w:hAnsi="方正黑体简体"/>
          <w:sz w:val="34"/>
          <w:szCs w:val="34"/>
        </w:rPr>
      </w:pPr>
      <w:r>
        <w:rPr>
          <w:rFonts w:ascii="方正黑体简体" w:eastAsia="方正黑体简体" w:hAnsi="方正黑体简体"/>
          <w:sz w:val="34"/>
          <w:szCs w:val="34"/>
        </w:rPr>
        <w:t>第三章　工会经费的回拨</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第七条</w:t>
      </w:r>
      <w:r>
        <w:rPr>
          <w:rFonts w:ascii="方正仿宋简体" w:eastAsia="方正仿宋简体" w:hAnsi="方正仿宋简体"/>
          <w:sz w:val="34"/>
          <w:szCs w:val="34"/>
        </w:rPr>
        <w:t xml:space="preserve">　市总工会财务资产部按照汇总确认表数据、税务代收查询系统中经费缴纳及返还情况，进行回拨工会经费的信息梳理、比对，做好回拨工会经费的数据准备。</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第八条</w:t>
      </w:r>
      <w:r>
        <w:rPr>
          <w:rFonts w:ascii="方正仿宋简体" w:eastAsia="方正仿宋简体" w:hAnsi="方正仿宋简体"/>
          <w:sz w:val="34"/>
          <w:szCs w:val="34"/>
        </w:rPr>
        <w:t xml:space="preserve">  回拨工会经费将按照新建会民营企业自2019年起缴纳的工会经费中，市总工会本级按比例实际留成的全部经费，直接拨付至企业工会账户。</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第九条</w:t>
      </w:r>
      <w:r>
        <w:rPr>
          <w:rFonts w:ascii="方正仿宋简体" w:eastAsia="方正仿宋简体" w:hAnsi="方正仿宋简体"/>
          <w:sz w:val="34"/>
          <w:szCs w:val="34"/>
        </w:rPr>
        <w:t xml:space="preserve">  回拨工会经费的拨付时间为每半年完成一次。具体是自2019年8月至2022年2月，分别于每年的2月、8月内完成一次拨付工作。</w:t>
      </w:r>
    </w:p>
    <w:p w:rsidR="00B83C48" w:rsidRDefault="00B83C48">
      <w:pPr>
        <w:spacing w:line="560" w:lineRule="exact"/>
        <w:jc w:val="center"/>
        <w:rPr>
          <w:rFonts w:ascii="方正黑体简体" w:eastAsia="方正黑体简体" w:hAnsi="方正黑体简体"/>
          <w:sz w:val="34"/>
          <w:szCs w:val="34"/>
        </w:rPr>
      </w:pPr>
    </w:p>
    <w:p w:rsidR="00B83C48" w:rsidRDefault="00600DAD">
      <w:pPr>
        <w:spacing w:line="560" w:lineRule="exact"/>
        <w:jc w:val="center"/>
        <w:rPr>
          <w:rFonts w:ascii="方正黑体简体" w:eastAsia="方正黑体简体" w:hAnsi="方正黑体简体"/>
          <w:sz w:val="34"/>
          <w:szCs w:val="34"/>
        </w:rPr>
      </w:pPr>
      <w:r>
        <w:rPr>
          <w:rFonts w:ascii="方正黑体简体" w:eastAsia="方正黑体简体" w:hAnsi="方正黑体简体"/>
          <w:sz w:val="34"/>
          <w:szCs w:val="34"/>
        </w:rPr>
        <w:t>第四章  加强管理及监督</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第十条</w:t>
      </w:r>
      <w:r>
        <w:rPr>
          <w:rFonts w:ascii="方正仿宋简体" w:eastAsia="方正仿宋简体" w:hAnsi="方正仿宋简体"/>
          <w:sz w:val="34"/>
          <w:szCs w:val="34"/>
        </w:rPr>
        <w:t xml:space="preserve">　新建会民营企业应按照《天津市地方税务部门代收工会经费（筹备金）工作管理办法》缴纳工会经费，并按照《工会预算管理办法》、《天津市基层工会经费收支管理办法》等有关规定，严格管理使用工会经费。</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lastRenderedPageBreak/>
        <w:t xml:space="preserve">    </w:t>
      </w:r>
      <w:r>
        <w:rPr>
          <w:rFonts w:ascii="方正楷体简体" w:eastAsia="方正楷体简体" w:hAnsi="方正楷体简体"/>
          <w:sz w:val="34"/>
          <w:szCs w:val="34"/>
        </w:rPr>
        <w:t>第十一条</w:t>
      </w:r>
      <w:r>
        <w:rPr>
          <w:rFonts w:ascii="方正仿宋简体" w:eastAsia="方正仿宋简体" w:hAnsi="方正仿宋简体"/>
          <w:sz w:val="34"/>
          <w:szCs w:val="34"/>
        </w:rPr>
        <w:t xml:space="preserve">　各区、局、集团公司工会要加强组织领导，及时梳理确认符合回拨经费条件的新建会民营企业，确保准确、按时上报汇总数据。</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第十二条</w:t>
      </w:r>
      <w:r>
        <w:rPr>
          <w:rFonts w:ascii="方正仿宋简体" w:eastAsia="方正仿宋简体" w:hAnsi="方正仿宋简体"/>
          <w:sz w:val="34"/>
          <w:szCs w:val="34"/>
        </w:rPr>
        <w:t xml:space="preserve">  各区、局、集团公司工会要加强对新建会民营企业工会经费使用情况的监督检查，确保工会经费使用合规，以维护财经纪律的严肃性。</w:t>
      </w: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w:t>
      </w:r>
      <w:r>
        <w:rPr>
          <w:rFonts w:ascii="方正楷体简体" w:eastAsia="方正楷体简体" w:hAnsi="方正楷体简体"/>
          <w:sz w:val="34"/>
          <w:szCs w:val="34"/>
        </w:rPr>
        <w:t>第十三条</w:t>
      </w:r>
      <w:r>
        <w:rPr>
          <w:rFonts w:ascii="方正仿宋简体" w:eastAsia="方正仿宋简体" w:hAnsi="方正仿宋简体"/>
          <w:sz w:val="34"/>
          <w:szCs w:val="34"/>
        </w:rPr>
        <w:t xml:space="preserve">  市总工会加强对新建会民营企业回拨工会经费的督导及推动，对工作不负责，不落实的单位及责任人，将视情况严肃追责。</w:t>
      </w:r>
    </w:p>
    <w:p w:rsidR="00B83C48" w:rsidRDefault="00B83C48">
      <w:pPr>
        <w:spacing w:line="560" w:lineRule="exact"/>
        <w:rPr>
          <w:rFonts w:ascii="方正仿宋简体" w:eastAsia="方正仿宋简体" w:hAnsi="方正仿宋简体"/>
          <w:sz w:val="34"/>
          <w:szCs w:val="34"/>
        </w:rPr>
      </w:pPr>
    </w:p>
    <w:p w:rsidR="00B83C48" w:rsidRDefault="00600DAD">
      <w:pPr>
        <w:spacing w:line="560" w:lineRule="exact"/>
        <w:jc w:val="center"/>
        <w:rPr>
          <w:rFonts w:ascii="方正黑体简体" w:eastAsia="方正黑体简体" w:hAnsi="方正黑体简体"/>
          <w:sz w:val="34"/>
          <w:szCs w:val="34"/>
        </w:rPr>
      </w:pPr>
      <w:r>
        <w:rPr>
          <w:rFonts w:ascii="方正黑体简体" w:eastAsia="方正黑体简体" w:hAnsi="方正黑体简体"/>
          <w:sz w:val="34"/>
          <w:szCs w:val="34"/>
        </w:rPr>
        <w:t>第五章　附　则</w:t>
      </w:r>
    </w:p>
    <w:p w:rsidR="00B83C48" w:rsidRDefault="00600DAD">
      <w:pPr>
        <w:spacing w:line="560" w:lineRule="exact"/>
        <w:rPr>
          <w:rFonts w:ascii="方正仿宋简体" w:eastAsia="方正仿宋简体" w:hAnsi="方正仿宋简体"/>
          <w:sz w:val="34"/>
          <w:szCs w:val="34"/>
        </w:rPr>
      </w:pPr>
      <w:r>
        <w:rPr>
          <w:rFonts w:ascii="方正楷体简体" w:eastAsia="方正楷体简体" w:hAnsi="方正楷体简体"/>
          <w:sz w:val="34"/>
          <w:szCs w:val="34"/>
        </w:rPr>
        <w:t xml:space="preserve">    第十四条</w:t>
      </w:r>
      <w:r>
        <w:rPr>
          <w:rFonts w:ascii="方正仿宋简体" w:eastAsia="方正仿宋简体" w:hAnsi="方正仿宋简体"/>
          <w:sz w:val="34"/>
          <w:szCs w:val="34"/>
        </w:rPr>
        <w:t xml:space="preserve">　本实施细则自印发之日起执行。</w:t>
      </w:r>
    </w:p>
    <w:p w:rsidR="00B83C48" w:rsidRDefault="00600DAD">
      <w:pPr>
        <w:spacing w:line="560" w:lineRule="exact"/>
        <w:rPr>
          <w:rFonts w:ascii="方正仿宋简体" w:eastAsia="方正仿宋简体" w:hAnsi="方正仿宋简体"/>
          <w:sz w:val="34"/>
          <w:szCs w:val="34"/>
        </w:rPr>
      </w:pPr>
      <w:r>
        <w:rPr>
          <w:rFonts w:ascii="方正楷体简体" w:eastAsia="方正楷体简体" w:hAnsi="方正楷体简体"/>
          <w:sz w:val="34"/>
          <w:szCs w:val="34"/>
        </w:rPr>
        <w:t xml:space="preserve">    第十五条</w:t>
      </w:r>
      <w:r>
        <w:rPr>
          <w:rFonts w:ascii="方正仿宋简体" w:eastAsia="方正仿宋简体" w:hAnsi="方正仿宋简体"/>
          <w:sz w:val="34"/>
          <w:szCs w:val="34"/>
        </w:rPr>
        <w:t xml:space="preserve">　本实施细则由市总工会</w:t>
      </w:r>
      <w:r w:rsidR="0066054C">
        <w:rPr>
          <w:rFonts w:ascii="方正仿宋简体" w:eastAsia="方正仿宋简体" w:hAnsi="方正仿宋简体" w:hint="eastAsia"/>
          <w:sz w:val="34"/>
          <w:szCs w:val="34"/>
        </w:rPr>
        <w:t>财务资产管理部</w:t>
      </w:r>
      <w:r>
        <w:rPr>
          <w:rFonts w:ascii="方正仿宋简体" w:eastAsia="方正仿宋简体" w:hAnsi="方正仿宋简体"/>
          <w:sz w:val="34"/>
          <w:szCs w:val="34"/>
        </w:rPr>
        <w:t>负责解释。</w:t>
      </w:r>
    </w:p>
    <w:p w:rsidR="00B83C48" w:rsidRDefault="00B83C48">
      <w:pPr>
        <w:spacing w:line="560" w:lineRule="exact"/>
        <w:rPr>
          <w:rFonts w:ascii="方正仿宋简体" w:eastAsia="方正仿宋简体" w:hAnsi="方正仿宋简体"/>
          <w:sz w:val="34"/>
          <w:szCs w:val="34"/>
        </w:rPr>
      </w:pPr>
    </w:p>
    <w:p w:rsidR="00B83C48" w:rsidRDefault="00600DAD">
      <w:pPr>
        <w:spacing w:line="560" w:lineRule="exact"/>
        <w:rPr>
          <w:rFonts w:ascii="方正仿宋简体" w:eastAsia="方正仿宋简体" w:hAnsi="方正仿宋简体"/>
          <w:sz w:val="34"/>
          <w:szCs w:val="34"/>
        </w:rPr>
      </w:pPr>
      <w:r>
        <w:rPr>
          <w:rFonts w:ascii="方正仿宋简体" w:eastAsia="方正仿宋简体" w:hAnsi="方正仿宋简体"/>
          <w:sz w:val="34"/>
          <w:szCs w:val="34"/>
        </w:rPr>
        <w:t xml:space="preserve">    附件：新建会民营企业情况汇总确认表</w:t>
      </w:r>
    </w:p>
    <w:p w:rsidR="00B83C48" w:rsidRDefault="00B83C48">
      <w:pPr>
        <w:spacing w:line="560" w:lineRule="exact"/>
        <w:rPr>
          <w:rFonts w:ascii="方正仿宋简体" w:eastAsia="方正仿宋简体" w:hAnsi="方正仿宋简体"/>
          <w:sz w:val="34"/>
          <w:szCs w:val="34"/>
        </w:rPr>
      </w:pPr>
    </w:p>
    <w:p w:rsidR="00B83C48" w:rsidRDefault="00B83C48">
      <w:pPr>
        <w:spacing w:line="560" w:lineRule="exact"/>
        <w:rPr>
          <w:rFonts w:ascii="方正仿宋简体" w:eastAsia="方正仿宋简体" w:hAnsi="方正仿宋简体"/>
          <w:sz w:val="34"/>
          <w:szCs w:val="34"/>
        </w:rPr>
      </w:pPr>
    </w:p>
    <w:p w:rsidR="00B83C48" w:rsidRDefault="00B83C48">
      <w:pPr>
        <w:spacing w:line="560" w:lineRule="exact"/>
        <w:rPr>
          <w:rFonts w:ascii="方正仿宋简体" w:eastAsia="方正仿宋简体" w:hAnsi="方正仿宋简体"/>
          <w:sz w:val="34"/>
          <w:szCs w:val="34"/>
        </w:rPr>
      </w:pPr>
    </w:p>
    <w:p w:rsidR="00B83C48" w:rsidRDefault="00600DAD" w:rsidP="005A2476">
      <w:pPr>
        <w:spacing w:line="560" w:lineRule="exact"/>
        <w:rPr>
          <w:rFonts w:ascii="微软雅黑" w:eastAsia="微软雅黑" w:hAnsi="微软雅黑"/>
          <w:color w:val="333333"/>
          <w:shd w:val="clear" w:color="000000" w:fill="FFFFFF"/>
        </w:rPr>
      </w:pPr>
      <w:r>
        <w:rPr>
          <w:rFonts w:ascii="方正仿宋简体" w:eastAsia="方正仿宋简体" w:hAnsi="方正仿宋简体"/>
          <w:sz w:val="34"/>
          <w:szCs w:val="34"/>
        </w:rPr>
        <w:t xml:space="preserve">                               </w:t>
      </w:r>
    </w:p>
    <w:p w:rsidR="00B83C48" w:rsidRDefault="00B83C48">
      <w:pPr>
        <w:rPr>
          <w:rFonts w:ascii="微软雅黑" w:eastAsia="微软雅黑" w:hAnsi="微软雅黑"/>
          <w:color w:val="333333"/>
          <w:shd w:val="clear" w:color="000000" w:fill="FFFFFF"/>
        </w:rPr>
      </w:pPr>
    </w:p>
    <w:p w:rsidR="00B83C48" w:rsidRDefault="00B83C48">
      <w:pPr>
        <w:rPr>
          <w:rFonts w:ascii="微软雅黑" w:eastAsia="微软雅黑" w:hAnsi="微软雅黑"/>
          <w:color w:val="333333"/>
          <w:shd w:val="clear" w:color="000000" w:fill="FFFFFF"/>
        </w:rPr>
      </w:pPr>
    </w:p>
    <w:p w:rsidR="00B83C48" w:rsidRDefault="00B83C48">
      <w:pPr>
        <w:rPr>
          <w:rFonts w:ascii="微软雅黑" w:eastAsia="微软雅黑" w:hAnsi="微软雅黑"/>
          <w:color w:val="333333"/>
          <w:shd w:val="clear" w:color="000000" w:fill="FFFFFF"/>
        </w:rPr>
        <w:sectPr w:rsidR="00B83C48" w:rsidSect="00554C3D">
          <w:footerReference w:type="default" r:id="rId6"/>
          <w:pgSz w:w="11906" w:h="16838" w:code="9"/>
          <w:pgMar w:top="2041" w:right="1559" w:bottom="1701" w:left="1559" w:header="851" w:footer="992" w:gutter="0"/>
          <w:pgNumType w:fmt="numberInDash"/>
          <w:cols w:space="720"/>
          <w:docGrid w:type="lines" w:linePitch="312"/>
        </w:sectPr>
      </w:pPr>
    </w:p>
    <w:tbl>
      <w:tblPr>
        <w:tblW w:w="19500" w:type="dxa"/>
        <w:tblInd w:w="96" w:type="dxa"/>
        <w:tblLayout w:type="fixed"/>
        <w:tblLook w:val="04A0"/>
      </w:tblPr>
      <w:tblGrid>
        <w:gridCol w:w="721"/>
        <w:gridCol w:w="239"/>
        <w:gridCol w:w="1887"/>
        <w:gridCol w:w="353"/>
        <w:gridCol w:w="1915"/>
        <w:gridCol w:w="183"/>
        <w:gridCol w:w="1660"/>
        <w:gridCol w:w="864"/>
        <w:gridCol w:w="1404"/>
        <w:gridCol w:w="694"/>
        <w:gridCol w:w="1574"/>
        <w:gridCol w:w="524"/>
        <w:gridCol w:w="1602"/>
        <w:gridCol w:w="496"/>
        <w:gridCol w:w="1064"/>
        <w:gridCol w:w="1080"/>
        <w:gridCol w:w="1080"/>
        <w:gridCol w:w="1080"/>
        <w:gridCol w:w="1080"/>
      </w:tblGrid>
      <w:tr w:rsidR="00B83C48">
        <w:trPr>
          <w:trHeight w:val="450"/>
        </w:trPr>
        <w:tc>
          <w:tcPr>
            <w:tcW w:w="960" w:type="dxa"/>
            <w:gridSpan w:val="2"/>
            <w:tcBorders>
              <w:top w:val="nil"/>
              <w:left w:val="nil"/>
              <w:bottom w:val="nil"/>
              <w:right w:val="nil"/>
            </w:tcBorders>
            <w:shd w:val="clear" w:color="000000" w:fill="auto"/>
            <w:vAlign w:val="center"/>
          </w:tcPr>
          <w:p w:rsidR="00B83C48" w:rsidRDefault="00600DAD">
            <w:pPr>
              <w:jc w:val="left"/>
              <w:rPr>
                <w:rFonts w:ascii="宋体" w:hAnsi="宋体"/>
                <w:color w:val="000000"/>
                <w:sz w:val="22"/>
                <w:szCs w:val="22"/>
              </w:rPr>
            </w:pPr>
            <w:r>
              <w:rPr>
                <w:rFonts w:ascii="宋体" w:hAnsi="宋体"/>
                <w:color w:val="000000"/>
                <w:sz w:val="22"/>
                <w:szCs w:val="22"/>
              </w:rPr>
              <w:lastRenderedPageBreak/>
              <w:t>附件</w:t>
            </w:r>
          </w:p>
        </w:tc>
        <w:tc>
          <w:tcPr>
            <w:tcW w:w="2240"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524"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64"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660"/>
        </w:trPr>
        <w:tc>
          <w:tcPr>
            <w:tcW w:w="15180" w:type="dxa"/>
            <w:gridSpan w:val="15"/>
            <w:tcBorders>
              <w:top w:val="nil"/>
              <w:left w:val="nil"/>
              <w:bottom w:val="nil"/>
              <w:right w:val="nil"/>
            </w:tcBorders>
            <w:shd w:val="clear" w:color="000000" w:fill="auto"/>
            <w:vAlign w:val="center"/>
          </w:tcPr>
          <w:p w:rsidR="00B83C48" w:rsidRDefault="00600DAD">
            <w:pPr>
              <w:jc w:val="center"/>
              <w:rPr>
                <w:rFonts w:ascii="宋体" w:hAnsi="宋体"/>
                <w:color w:val="000000"/>
                <w:sz w:val="40"/>
                <w:szCs w:val="40"/>
              </w:rPr>
            </w:pPr>
            <w:r>
              <w:rPr>
                <w:rFonts w:ascii="宋体" w:hAnsi="宋体"/>
                <w:color w:val="000000"/>
                <w:sz w:val="40"/>
                <w:szCs w:val="40"/>
              </w:rPr>
              <w:t>新建会民营企业情况汇总确认表</w:t>
            </w: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615"/>
        </w:trPr>
        <w:tc>
          <w:tcPr>
            <w:tcW w:w="6958" w:type="dxa"/>
            <w:gridSpan w:val="7"/>
            <w:tcBorders>
              <w:top w:val="nil"/>
              <w:left w:val="nil"/>
              <w:bottom w:val="single" w:sz="4" w:space="0" w:color="auto"/>
              <w:right w:val="nil"/>
            </w:tcBorders>
            <w:shd w:val="clear" w:color="000000" w:fill="auto"/>
            <w:vAlign w:val="center"/>
          </w:tcPr>
          <w:p w:rsidR="00B83C48" w:rsidRDefault="00600DAD">
            <w:pPr>
              <w:jc w:val="left"/>
              <w:rPr>
                <w:rFonts w:ascii="宋体" w:hAnsi="宋体"/>
                <w:color w:val="000000"/>
                <w:sz w:val="22"/>
                <w:szCs w:val="22"/>
              </w:rPr>
            </w:pPr>
            <w:r>
              <w:rPr>
                <w:rFonts w:ascii="宋体" w:hAnsi="宋体"/>
                <w:color w:val="000000"/>
                <w:sz w:val="22"/>
                <w:szCs w:val="22"/>
              </w:rPr>
              <w:t>填报单位:</w:t>
            </w:r>
          </w:p>
        </w:tc>
        <w:tc>
          <w:tcPr>
            <w:tcW w:w="226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序号</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600DAD">
            <w:pPr>
              <w:tabs>
                <w:tab w:val="left" w:pos="1130"/>
              </w:tabs>
              <w:jc w:val="center"/>
              <w:rPr>
                <w:rFonts w:ascii="宋体" w:hAnsi="宋体"/>
                <w:color w:val="000000"/>
                <w:sz w:val="22"/>
                <w:szCs w:val="22"/>
              </w:rPr>
            </w:pPr>
            <w:r>
              <w:rPr>
                <w:rFonts w:ascii="宋体" w:hAnsi="宋体"/>
                <w:color w:val="000000"/>
                <w:sz w:val="22"/>
                <w:szCs w:val="22"/>
              </w:rPr>
              <w:t>单位全称</w:t>
            </w: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纳税人识别号</w:t>
            </w: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单位类型</w:t>
            </w:r>
          </w:p>
        </w:tc>
        <w:tc>
          <w:tcPr>
            <w:tcW w:w="2268" w:type="dxa"/>
            <w:gridSpan w:val="2"/>
            <w:tcBorders>
              <w:top w:val="single" w:sz="4" w:space="0" w:color="auto"/>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工会名称</w:t>
            </w:r>
          </w:p>
        </w:tc>
        <w:tc>
          <w:tcPr>
            <w:tcW w:w="2268" w:type="dxa"/>
            <w:gridSpan w:val="2"/>
            <w:tcBorders>
              <w:top w:val="single" w:sz="4" w:space="0" w:color="auto"/>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工会法人证号码</w:t>
            </w:r>
          </w:p>
        </w:tc>
        <w:tc>
          <w:tcPr>
            <w:tcW w:w="2126" w:type="dxa"/>
            <w:gridSpan w:val="2"/>
            <w:tcBorders>
              <w:top w:val="single" w:sz="4" w:space="0" w:color="auto"/>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工会银行开户名称</w:t>
            </w:r>
          </w:p>
        </w:tc>
        <w:tc>
          <w:tcPr>
            <w:tcW w:w="1560" w:type="dxa"/>
            <w:gridSpan w:val="2"/>
            <w:tcBorders>
              <w:top w:val="single" w:sz="4" w:space="0" w:color="auto"/>
              <w:left w:val="nil"/>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建会时间</w:t>
            </w: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1</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2</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3</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4</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5</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6</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7</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499"/>
        </w:trPr>
        <w:tc>
          <w:tcPr>
            <w:tcW w:w="721" w:type="dxa"/>
            <w:tcBorders>
              <w:top w:val="nil"/>
              <w:left w:val="single" w:sz="4" w:space="0" w:color="auto"/>
              <w:bottom w:val="single" w:sz="4" w:space="0" w:color="auto"/>
              <w:right w:val="single" w:sz="4" w:space="0" w:color="auto"/>
            </w:tcBorders>
            <w:shd w:val="clear" w:color="000000" w:fill="auto"/>
            <w:vAlign w:val="center"/>
          </w:tcPr>
          <w:p w:rsidR="00B83C48" w:rsidRDefault="00600DAD">
            <w:pPr>
              <w:jc w:val="center"/>
              <w:rPr>
                <w:rFonts w:ascii="宋体" w:hAnsi="宋体"/>
                <w:color w:val="000000"/>
                <w:sz w:val="22"/>
                <w:szCs w:val="22"/>
              </w:rPr>
            </w:pPr>
            <w:r>
              <w:rPr>
                <w:rFonts w:ascii="宋体" w:hAnsi="宋体"/>
                <w:color w:val="000000"/>
                <w:sz w:val="22"/>
                <w:szCs w:val="22"/>
              </w:rPr>
              <w:t>8</w:t>
            </w: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843"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268"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2126"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560" w:type="dxa"/>
            <w:gridSpan w:val="2"/>
            <w:tcBorders>
              <w:top w:val="nil"/>
              <w:left w:val="nil"/>
              <w:bottom w:val="single" w:sz="4" w:space="0" w:color="auto"/>
              <w:right w:val="single" w:sz="4" w:space="0" w:color="auto"/>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375"/>
        </w:trPr>
        <w:tc>
          <w:tcPr>
            <w:tcW w:w="15180" w:type="dxa"/>
            <w:gridSpan w:val="15"/>
            <w:vMerge w:val="restart"/>
            <w:tcBorders>
              <w:top w:val="single" w:sz="4" w:space="0" w:color="auto"/>
              <w:left w:val="single" w:sz="4" w:space="0" w:color="auto"/>
              <w:bottom w:val="single" w:sz="4" w:space="0" w:color="000000"/>
              <w:right w:val="single" w:sz="4" w:space="0" w:color="000000"/>
            </w:tcBorders>
            <w:shd w:val="clear" w:color="000000" w:fill="auto"/>
            <w:vAlign w:val="center"/>
          </w:tcPr>
          <w:p w:rsidR="00B83C48" w:rsidRDefault="00600DAD">
            <w:pPr>
              <w:jc w:val="left"/>
              <w:rPr>
                <w:rFonts w:ascii="宋体" w:hAnsi="宋体"/>
                <w:color w:val="000000"/>
                <w:sz w:val="22"/>
                <w:szCs w:val="22"/>
              </w:rPr>
            </w:pPr>
            <w:r>
              <w:rPr>
                <w:rFonts w:ascii="宋体" w:hAnsi="宋体"/>
                <w:color w:val="000000"/>
                <w:sz w:val="22"/>
                <w:szCs w:val="22"/>
              </w:rPr>
              <w:t xml:space="preserve">           区、局、集团公司工会意见（签章）  </w:t>
            </w:r>
            <w:r>
              <w:rPr>
                <w:rFonts w:ascii="宋体" w:hAnsi="宋体"/>
                <w:color w:val="000000"/>
                <w:sz w:val="22"/>
                <w:szCs w:val="22"/>
              </w:rPr>
              <w:br/>
            </w:r>
            <w:r>
              <w:rPr>
                <w:rFonts w:ascii="宋体" w:hAnsi="宋体"/>
                <w:color w:val="000000"/>
                <w:sz w:val="22"/>
                <w:szCs w:val="22"/>
              </w:rPr>
              <w:br/>
            </w:r>
            <w:r>
              <w:rPr>
                <w:rFonts w:ascii="宋体" w:hAnsi="宋体"/>
                <w:color w:val="000000"/>
                <w:sz w:val="22"/>
                <w:szCs w:val="22"/>
              </w:rPr>
              <w:br/>
            </w:r>
            <w:r>
              <w:rPr>
                <w:rFonts w:ascii="宋体" w:hAnsi="宋体"/>
                <w:color w:val="000000"/>
                <w:sz w:val="22"/>
                <w:szCs w:val="22"/>
              </w:rPr>
              <w:br/>
              <w:t xml:space="preserve">                           审核人（签字）：            年    月    日                 工会主席（签字） ：              年    月    日                                                                                                                                                                                                                                                                                                                             </w:t>
            </w: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375"/>
        </w:trPr>
        <w:tc>
          <w:tcPr>
            <w:tcW w:w="15180" w:type="dxa"/>
            <w:gridSpan w:val="15"/>
            <w:vMerge/>
            <w:tcBorders>
              <w:top w:val="single" w:sz="4" w:space="0" w:color="auto"/>
              <w:left w:val="single" w:sz="4" w:space="0" w:color="auto"/>
              <w:bottom w:val="single" w:sz="4" w:space="0" w:color="000000"/>
              <w:right w:val="single" w:sz="4" w:space="0" w:color="000000"/>
            </w:tcBorders>
            <w:shd w:val="clear" w:color="000000" w:fill="auto"/>
            <w:vAlign w:val="center"/>
          </w:tcPr>
          <w:p w:rsidR="00B83C48" w:rsidRDefault="00B83C48"/>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375"/>
        </w:trPr>
        <w:tc>
          <w:tcPr>
            <w:tcW w:w="15180" w:type="dxa"/>
            <w:gridSpan w:val="15"/>
            <w:vMerge/>
            <w:tcBorders>
              <w:top w:val="single" w:sz="4" w:space="0" w:color="auto"/>
              <w:left w:val="single" w:sz="4" w:space="0" w:color="auto"/>
              <w:bottom w:val="single" w:sz="4" w:space="0" w:color="000000"/>
              <w:right w:val="single" w:sz="4" w:space="0" w:color="000000"/>
            </w:tcBorders>
            <w:shd w:val="clear" w:color="000000" w:fill="auto"/>
            <w:vAlign w:val="center"/>
          </w:tcPr>
          <w:p w:rsidR="00B83C48" w:rsidRDefault="00B83C48"/>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375"/>
        </w:trPr>
        <w:tc>
          <w:tcPr>
            <w:tcW w:w="15180" w:type="dxa"/>
            <w:gridSpan w:val="15"/>
            <w:vMerge/>
            <w:tcBorders>
              <w:top w:val="single" w:sz="4" w:space="0" w:color="auto"/>
              <w:left w:val="single" w:sz="4" w:space="0" w:color="auto"/>
              <w:bottom w:val="single" w:sz="4" w:space="0" w:color="000000"/>
              <w:right w:val="single" w:sz="4" w:space="0" w:color="000000"/>
            </w:tcBorders>
            <w:shd w:val="clear" w:color="000000" w:fill="auto"/>
            <w:vAlign w:val="center"/>
          </w:tcPr>
          <w:p w:rsidR="00B83C48" w:rsidRDefault="00B83C48"/>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375"/>
        </w:trPr>
        <w:tc>
          <w:tcPr>
            <w:tcW w:w="15180" w:type="dxa"/>
            <w:gridSpan w:val="15"/>
            <w:vMerge/>
            <w:tcBorders>
              <w:top w:val="single" w:sz="4" w:space="0" w:color="auto"/>
              <w:left w:val="single" w:sz="4" w:space="0" w:color="auto"/>
              <w:bottom w:val="single" w:sz="4" w:space="0" w:color="000000"/>
              <w:right w:val="single" w:sz="4" w:space="0" w:color="000000"/>
            </w:tcBorders>
            <w:shd w:val="clear" w:color="000000" w:fill="auto"/>
            <w:vAlign w:val="center"/>
          </w:tcPr>
          <w:p w:rsidR="00B83C48" w:rsidRDefault="00B83C48"/>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r w:rsidR="00B83C48">
        <w:trPr>
          <w:trHeight w:val="1095"/>
        </w:trPr>
        <w:tc>
          <w:tcPr>
            <w:tcW w:w="9920" w:type="dxa"/>
            <w:gridSpan w:val="10"/>
            <w:tcBorders>
              <w:top w:val="single" w:sz="4" w:space="0" w:color="auto"/>
              <w:left w:val="nil"/>
              <w:bottom w:val="nil"/>
              <w:right w:val="nil"/>
            </w:tcBorders>
            <w:shd w:val="clear" w:color="000000" w:fill="auto"/>
            <w:vAlign w:val="center"/>
          </w:tcPr>
          <w:p w:rsidR="00B83C48" w:rsidRDefault="00600DAD">
            <w:pPr>
              <w:jc w:val="left"/>
              <w:rPr>
                <w:rFonts w:ascii="宋体" w:hAnsi="宋体"/>
                <w:color w:val="000000"/>
                <w:sz w:val="20"/>
                <w:szCs w:val="20"/>
              </w:rPr>
            </w:pPr>
            <w:r>
              <w:rPr>
                <w:rFonts w:ascii="宋体" w:hAnsi="宋体"/>
                <w:color w:val="000000"/>
                <w:sz w:val="20"/>
                <w:szCs w:val="20"/>
              </w:rPr>
              <w:t xml:space="preserve"> 注：1.纳税人识别号按照缴费单位在税务代收查询系统中的信息采集数据填报；</w:t>
            </w:r>
            <w:r>
              <w:rPr>
                <w:rFonts w:ascii="宋体" w:hAnsi="宋体"/>
                <w:color w:val="000000"/>
                <w:sz w:val="20"/>
                <w:szCs w:val="20"/>
              </w:rPr>
              <w:br/>
              <w:t xml:space="preserve">     2.单位类型按照企业登记注册类型填报；</w:t>
            </w:r>
            <w:r>
              <w:rPr>
                <w:rFonts w:ascii="宋体" w:hAnsi="宋体"/>
                <w:color w:val="000000"/>
                <w:sz w:val="20"/>
                <w:szCs w:val="20"/>
              </w:rPr>
              <w:br/>
              <w:t xml:space="preserve">     3.本表一式两份，由区、局、集团公司工会、市总工会财务资产管理部分别留存。</w:t>
            </w: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2098" w:type="dxa"/>
            <w:gridSpan w:val="2"/>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64" w:type="dxa"/>
            <w:tcBorders>
              <w:top w:val="nil"/>
              <w:left w:val="nil"/>
              <w:bottom w:val="nil"/>
              <w:right w:val="nil"/>
            </w:tcBorders>
            <w:shd w:val="clear" w:color="000000" w:fill="auto"/>
            <w:vAlign w:val="center"/>
          </w:tcPr>
          <w:p w:rsidR="009C71D2" w:rsidRDefault="009C71D2">
            <w:pPr>
              <w:jc w:val="left"/>
              <w:rPr>
                <w:rFonts w:ascii="宋体" w:hAnsi="宋体"/>
                <w:color w:val="000000"/>
                <w:sz w:val="22"/>
                <w:szCs w:val="22"/>
              </w:rPr>
            </w:pPr>
          </w:p>
          <w:p w:rsidR="009C71D2" w:rsidRDefault="009C71D2" w:rsidP="009C71D2">
            <w:pPr>
              <w:rPr>
                <w:rFonts w:ascii="宋体" w:hAnsi="宋体"/>
                <w:sz w:val="22"/>
                <w:szCs w:val="22"/>
              </w:rPr>
            </w:pPr>
          </w:p>
          <w:p w:rsidR="00B83C48" w:rsidRPr="009C71D2" w:rsidRDefault="00B83C48" w:rsidP="009C71D2">
            <w:pPr>
              <w:rPr>
                <w:rFonts w:ascii="宋体" w:hAnsi="宋体"/>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c>
          <w:tcPr>
            <w:tcW w:w="1080" w:type="dxa"/>
            <w:tcBorders>
              <w:top w:val="nil"/>
              <w:left w:val="nil"/>
              <w:bottom w:val="nil"/>
              <w:right w:val="nil"/>
            </w:tcBorders>
            <w:shd w:val="clear" w:color="000000" w:fill="auto"/>
            <w:vAlign w:val="center"/>
          </w:tcPr>
          <w:p w:rsidR="00B83C48" w:rsidRDefault="00B83C48">
            <w:pPr>
              <w:jc w:val="left"/>
              <w:rPr>
                <w:rFonts w:ascii="宋体" w:hAnsi="宋体"/>
                <w:color w:val="000000"/>
                <w:sz w:val="22"/>
                <w:szCs w:val="22"/>
              </w:rPr>
            </w:pPr>
          </w:p>
        </w:tc>
      </w:tr>
    </w:tbl>
    <w:p w:rsidR="00B83C48" w:rsidRDefault="00B83C48">
      <w:pPr>
        <w:rPr>
          <w:rFonts w:hAnsi="宋体"/>
        </w:rPr>
      </w:pPr>
    </w:p>
    <w:sectPr w:rsidR="00B83C48" w:rsidSect="00196E3E">
      <w:pgSz w:w="16838" w:h="11906" w:orient="landscape"/>
      <w:pgMar w:top="1134" w:right="1134" w:bottom="1134" w:left="113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9A" w:rsidRDefault="00A16F9A" w:rsidP="002C553B">
      <w:r>
        <w:separator/>
      </w:r>
    </w:p>
  </w:endnote>
  <w:endnote w:type="continuationSeparator" w:id="1">
    <w:p w:rsidR="00A16F9A" w:rsidRDefault="00A16F9A" w:rsidP="002C5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黑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985"/>
      <w:docPartObj>
        <w:docPartGallery w:val="Page Numbers (Bottom of Page)"/>
        <w:docPartUnique/>
      </w:docPartObj>
    </w:sdtPr>
    <w:sdtContent>
      <w:sdt>
        <w:sdtPr>
          <w:id w:val="22462662"/>
          <w:docPartObj>
            <w:docPartGallery w:val="Page Numbers (Bottom of Page)"/>
            <w:docPartUnique/>
          </w:docPartObj>
        </w:sdtPr>
        <w:sdtEndPr>
          <w:rPr>
            <w:sz w:val="28"/>
            <w:szCs w:val="28"/>
          </w:rPr>
        </w:sdtEndPr>
        <w:sdtContent>
          <w:p w:rsidR="002C553B" w:rsidRPr="00063A18" w:rsidRDefault="00C21EB8" w:rsidP="00063A18">
            <w:pPr>
              <w:pStyle w:val="af3"/>
              <w:snapToGrid w:val="0"/>
              <w:jc w:val="center"/>
              <w:rPr>
                <w:sz w:val="28"/>
                <w:szCs w:val="28"/>
              </w:rPr>
            </w:pPr>
            <w:r w:rsidRPr="00C21EB8">
              <w:rPr>
                <w:rFonts w:ascii="Times New Roman" w:hAnsi="Times New Roman"/>
                <w:sz w:val="28"/>
                <w:szCs w:val="28"/>
              </w:rPr>
              <w:fldChar w:fldCharType="begin"/>
            </w:r>
            <w:r w:rsidRPr="00C21EB8">
              <w:rPr>
                <w:rFonts w:ascii="Times New Roman" w:hAnsi="Times New Roman"/>
                <w:sz w:val="28"/>
                <w:szCs w:val="28"/>
              </w:rPr>
              <w:instrText xml:space="preserve"> PAGE   \* MERGEFORMAT </w:instrText>
            </w:r>
            <w:r w:rsidRPr="00C21EB8">
              <w:rPr>
                <w:rFonts w:ascii="Times New Roman" w:hAnsi="Times New Roman"/>
                <w:sz w:val="28"/>
                <w:szCs w:val="28"/>
              </w:rPr>
              <w:fldChar w:fldCharType="separate"/>
            </w:r>
            <w:r w:rsidR="00063A18" w:rsidRPr="00063A18">
              <w:rPr>
                <w:rFonts w:ascii="Times New Roman" w:hAnsi="Times New Roman"/>
                <w:noProof/>
                <w:sz w:val="28"/>
                <w:szCs w:val="28"/>
                <w:lang w:val="zh-CN"/>
              </w:rPr>
              <w:t>-</w:t>
            </w:r>
            <w:r w:rsidR="00063A18">
              <w:rPr>
                <w:rFonts w:ascii="Times New Roman" w:hAnsi="Times New Roman"/>
                <w:noProof/>
                <w:sz w:val="28"/>
                <w:szCs w:val="28"/>
              </w:rPr>
              <w:t xml:space="preserve"> 2 -</w:t>
            </w:r>
            <w:r w:rsidRPr="00C21EB8">
              <w:rPr>
                <w:rFonts w:ascii="Times New Roman" w:hAnsi="Times New Roman"/>
                <w:sz w:val="28"/>
                <w:szCs w:val="2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9A" w:rsidRDefault="00A16F9A" w:rsidP="002C553B">
      <w:r>
        <w:separator/>
      </w:r>
    </w:p>
  </w:footnote>
  <w:footnote w:type="continuationSeparator" w:id="1">
    <w:p w:rsidR="00A16F9A" w:rsidRDefault="00A16F9A" w:rsidP="002C5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balanceSingleByteDoubleByteWidth/>
    <w:ulTrailSpace/>
    <w:adjustLineHeightInTable/>
    <w:useFELayout/>
  </w:compat>
  <w:rsids>
    <w:rsidRoot w:val="00B83C48"/>
    <w:rsid w:val="00017296"/>
    <w:rsid w:val="00055847"/>
    <w:rsid w:val="00063A18"/>
    <w:rsid w:val="001008BF"/>
    <w:rsid w:val="00196E3E"/>
    <w:rsid w:val="002C553B"/>
    <w:rsid w:val="00554C3D"/>
    <w:rsid w:val="005920D2"/>
    <w:rsid w:val="005A2476"/>
    <w:rsid w:val="00600DAD"/>
    <w:rsid w:val="00601464"/>
    <w:rsid w:val="0066054C"/>
    <w:rsid w:val="006C1A14"/>
    <w:rsid w:val="00722DBD"/>
    <w:rsid w:val="00827317"/>
    <w:rsid w:val="008D6E14"/>
    <w:rsid w:val="009C71D2"/>
    <w:rsid w:val="00A15AC1"/>
    <w:rsid w:val="00A16F9A"/>
    <w:rsid w:val="00B003B1"/>
    <w:rsid w:val="00B83C48"/>
    <w:rsid w:val="00BF22D9"/>
    <w:rsid w:val="00C21EB8"/>
    <w:rsid w:val="00C524F3"/>
    <w:rsid w:val="00D804BA"/>
    <w:rsid w:val="00E52D19"/>
    <w:rsid w:val="00E70496"/>
    <w:rsid w:val="00FE3D6C"/>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3C48"/>
    <w:pPr>
      <w:jc w:val="both"/>
    </w:pPr>
  </w:style>
  <w:style w:type="paragraph" w:styleId="1">
    <w:name w:val="heading 1"/>
    <w:uiPriority w:val="7"/>
    <w:qFormat/>
    <w:rsid w:val="00B83C48"/>
    <w:pPr>
      <w:jc w:val="both"/>
      <w:outlineLvl w:val="0"/>
    </w:pPr>
    <w:rPr>
      <w:sz w:val="28"/>
      <w:szCs w:val="28"/>
    </w:rPr>
  </w:style>
  <w:style w:type="paragraph" w:styleId="2">
    <w:name w:val="heading 2"/>
    <w:uiPriority w:val="8"/>
    <w:qFormat/>
    <w:rsid w:val="00B83C48"/>
    <w:pPr>
      <w:jc w:val="both"/>
      <w:outlineLvl w:val="1"/>
    </w:pPr>
  </w:style>
  <w:style w:type="paragraph" w:styleId="3">
    <w:name w:val="heading 3"/>
    <w:uiPriority w:val="9"/>
    <w:qFormat/>
    <w:rsid w:val="00B83C48"/>
    <w:pPr>
      <w:ind w:left="1000" w:hanging="400"/>
      <w:jc w:val="both"/>
      <w:outlineLvl w:val="2"/>
    </w:pPr>
  </w:style>
  <w:style w:type="paragraph" w:styleId="4">
    <w:name w:val="heading 4"/>
    <w:uiPriority w:val="10"/>
    <w:qFormat/>
    <w:rsid w:val="00B83C48"/>
    <w:pPr>
      <w:ind w:left="1200" w:hanging="400"/>
      <w:jc w:val="both"/>
      <w:outlineLvl w:val="3"/>
    </w:pPr>
    <w:rPr>
      <w:b/>
    </w:rPr>
  </w:style>
  <w:style w:type="paragraph" w:styleId="5">
    <w:name w:val="heading 5"/>
    <w:uiPriority w:val="11"/>
    <w:qFormat/>
    <w:rsid w:val="00B83C48"/>
    <w:pPr>
      <w:ind w:left="1400" w:hanging="400"/>
      <w:jc w:val="both"/>
      <w:outlineLvl w:val="4"/>
    </w:pPr>
  </w:style>
  <w:style w:type="paragraph" w:styleId="6">
    <w:name w:val="heading 6"/>
    <w:uiPriority w:val="12"/>
    <w:qFormat/>
    <w:rsid w:val="00B83C48"/>
    <w:pPr>
      <w:ind w:left="1600" w:hanging="400"/>
      <w:jc w:val="both"/>
      <w:outlineLvl w:val="5"/>
    </w:pPr>
    <w:rPr>
      <w:b/>
    </w:rPr>
  </w:style>
  <w:style w:type="paragraph" w:styleId="7">
    <w:name w:val="heading 7"/>
    <w:uiPriority w:val="13"/>
    <w:qFormat/>
    <w:rsid w:val="00B83C48"/>
    <w:pPr>
      <w:ind w:left="1800" w:hanging="400"/>
      <w:jc w:val="both"/>
      <w:outlineLvl w:val="6"/>
    </w:pPr>
  </w:style>
  <w:style w:type="paragraph" w:styleId="8">
    <w:name w:val="heading 8"/>
    <w:uiPriority w:val="14"/>
    <w:qFormat/>
    <w:rsid w:val="00B83C48"/>
    <w:pPr>
      <w:ind w:left="2000" w:hanging="400"/>
      <w:jc w:val="both"/>
      <w:outlineLvl w:val="7"/>
    </w:pPr>
  </w:style>
  <w:style w:type="paragraph" w:styleId="9">
    <w:name w:val="heading 9"/>
    <w:uiPriority w:val="15"/>
    <w:qFormat/>
    <w:rsid w:val="00B83C48"/>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B83C48"/>
    <w:pPr>
      <w:jc w:val="both"/>
    </w:pPr>
  </w:style>
  <w:style w:type="paragraph" w:styleId="a4">
    <w:name w:val="Title"/>
    <w:uiPriority w:val="6"/>
    <w:qFormat/>
    <w:rsid w:val="00B83C48"/>
    <w:pPr>
      <w:jc w:val="center"/>
    </w:pPr>
    <w:rPr>
      <w:b/>
      <w:sz w:val="32"/>
      <w:szCs w:val="32"/>
    </w:rPr>
  </w:style>
  <w:style w:type="paragraph" w:styleId="a5">
    <w:name w:val="Subtitle"/>
    <w:uiPriority w:val="16"/>
    <w:qFormat/>
    <w:rsid w:val="00B83C48"/>
    <w:pPr>
      <w:jc w:val="center"/>
    </w:pPr>
    <w:rPr>
      <w:sz w:val="24"/>
      <w:szCs w:val="24"/>
    </w:rPr>
  </w:style>
  <w:style w:type="character" w:styleId="a6">
    <w:name w:val="Subtle Emphasis"/>
    <w:uiPriority w:val="17"/>
    <w:qFormat/>
    <w:rsid w:val="00B83C48"/>
    <w:rPr>
      <w:i/>
      <w:color w:val="404040"/>
      <w:w w:val="100"/>
      <w:sz w:val="21"/>
      <w:szCs w:val="21"/>
      <w:shd w:val="clear" w:color="auto" w:fill="auto"/>
    </w:rPr>
  </w:style>
  <w:style w:type="character" w:styleId="a7">
    <w:name w:val="Emphasis"/>
    <w:uiPriority w:val="18"/>
    <w:qFormat/>
    <w:rsid w:val="00B83C48"/>
    <w:rPr>
      <w:i/>
      <w:w w:val="100"/>
      <w:sz w:val="21"/>
      <w:szCs w:val="21"/>
      <w:shd w:val="clear" w:color="auto" w:fill="auto"/>
    </w:rPr>
  </w:style>
  <w:style w:type="character" w:styleId="a8">
    <w:name w:val="Intense Emphasis"/>
    <w:uiPriority w:val="19"/>
    <w:qFormat/>
    <w:rsid w:val="00B83C48"/>
    <w:rPr>
      <w:i/>
      <w:color w:val="5B9BD5"/>
      <w:w w:val="100"/>
      <w:sz w:val="21"/>
      <w:szCs w:val="21"/>
      <w:shd w:val="clear" w:color="auto" w:fill="auto"/>
    </w:rPr>
  </w:style>
  <w:style w:type="character" w:styleId="a9">
    <w:name w:val="Strong"/>
    <w:uiPriority w:val="20"/>
    <w:qFormat/>
    <w:rsid w:val="00B83C48"/>
    <w:rPr>
      <w:b/>
      <w:w w:val="100"/>
      <w:sz w:val="21"/>
      <w:szCs w:val="21"/>
      <w:shd w:val="clear" w:color="auto" w:fill="auto"/>
    </w:rPr>
  </w:style>
  <w:style w:type="paragraph" w:styleId="aa">
    <w:name w:val="Quote"/>
    <w:uiPriority w:val="21"/>
    <w:qFormat/>
    <w:rsid w:val="00B83C48"/>
    <w:pPr>
      <w:ind w:left="864" w:right="864"/>
      <w:jc w:val="center"/>
    </w:pPr>
    <w:rPr>
      <w:i/>
      <w:color w:val="404040"/>
    </w:rPr>
  </w:style>
  <w:style w:type="paragraph" w:styleId="ab">
    <w:name w:val="Intense Quote"/>
    <w:uiPriority w:val="22"/>
    <w:qFormat/>
    <w:rsid w:val="00B83C48"/>
    <w:pPr>
      <w:ind w:left="950" w:right="950"/>
      <w:jc w:val="center"/>
    </w:pPr>
    <w:rPr>
      <w:i/>
      <w:color w:val="5B9BD5"/>
    </w:rPr>
  </w:style>
  <w:style w:type="character" w:styleId="ac">
    <w:name w:val="Subtle Reference"/>
    <w:uiPriority w:val="23"/>
    <w:qFormat/>
    <w:rsid w:val="00B83C48"/>
    <w:rPr>
      <w:smallCaps/>
      <w:color w:val="5A5A5A"/>
      <w:w w:val="100"/>
      <w:sz w:val="21"/>
      <w:szCs w:val="21"/>
      <w:shd w:val="clear" w:color="auto" w:fill="auto"/>
    </w:rPr>
  </w:style>
  <w:style w:type="character" w:styleId="ad">
    <w:name w:val="Intense Reference"/>
    <w:uiPriority w:val="24"/>
    <w:qFormat/>
    <w:rsid w:val="00B83C48"/>
    <w:rPr>
      <w:b/>
      <w:smallCaps/>
      <w:color w:val="5B9BD5"/>
      <w:w w:val="100"/>
      <w:sz w:val="21"/>
      <w:szCs w:val="21"/>
      <w:shd w:val="clear" w:color="auto" w:fill="auto"/>
    </w:rPr>
  </w:style>
  <w:style w:type="character" w:styleId="ae">
    <w:name w:val="Book Title"/>
    <w:uiPriority w:val="25"/>
    <w:qFormat/>
    <w:rsid w:val="00B83C48"/>
    <w:rPr>
      <w:b/>
      <w:i/>
      <w:w w:val="100"/>
      <w:sz w:val="21"/>
      <w:szCs w:val="21"/>
      <w:shd w:val="clear" w:color="auto" w:fill="auto"/>
    </w:rPr>
  </w:style>
  <w:style w:type="paragraph" w:styleId="af">
    <w:name w:val="List Paragraph"/>
    <w:uiPriority w:val="26"/>
    <w:qFormat/>
    <w:rsid w:val="00B83C48"/>
    <w:pPr>
      <w:ind w:left="850"/>
      <w:jc w:val="both"/>
    </w:pPr>
  </w:style>
  <w:style w:type="paragraph" w:styleId="TOC">
    <w:name w:val="TOC Heading"/>
    <w:uiPriority w:val="27"/>
    <w:unhideWhenUsed/>
    <w:qFormat/>
    <w:rsid w:val="00B83C48"/>
    <w:rPr>
      <w:color w:val="2E74B5"/>
      <w:sz w:val="32"/>
      <w:szCs w:val="32"/>
    </w:rPr>
  </w:style>
  <w:style w:type="paragraph" w:styleId="10">
    <w:name w:val="toc 1"/>
    <w:uiPriority w:val="28"/>
    <w:unhideWhenUsed/>
    <w:qFormat/>
    <w:rsid w:val="00B83C48"/>
    <w:pPr>
      <w:jc w:val="both"/>
    </w:pPr>
  </w:style>
  <w:style w:type="paragraph" w:styleId="20">
    <w:name w:val="toc 2"/>
    <w:uiPriority w:val="29"/>
    <w:unhideWhenUsed/>
    <w:qFormat/>
    <w:rsid w:val="00B83C48"/>
    <w:pPr>
      <w:ind w:left="425"/>
      <w:jc w:val="both"/>
    </w:pPr>
  </w:style>
  <w:style w:type="paragraph" w:styleId="30">
    <w:name w:val="toc 3"/>
    <w:uiPriority w:val="30"/>
    <w:unhideWhenUsed/>
    <w:qFormat/>
    <w:rsid w:val="00B83C48"/>
    <w:pPr>
      <w:ind w:left="850"/>
      <w:jc w:val="both"/>
    </w:pPr>
  </w:style>
  <w:style w:type="paragraph" w:styleId="40">
    <w:name w:val="toc 4"/>
    <w:uiPriority w:val="31"/>
    <w:unhideWhenUsed/>
    <w:qFormat/>
    <w:rsid w:val="00B83C48"/>
    <w:pPr>
      <w:ind w:left="1275"/>
      <w:jc w:val="both"/>
    </w:pPr>
  </w:style>
  <w:style w:type="paragraph" w:styleId="50">
    <w:name w:val="toc 5"/>
    <w:uiPriority w:val="32"/>
    <w:unhideWhenUsed/>
    <w:qFormat/>
    <w:rsid w:val="00B83C48"/>
    <w:pPr>
      <w:ind w:left="1700"/>
      <w:jc w:val="both"/>
    </w:pPr>
  </w:style>
  <w:style w:type="paragraph" w:styleId="60">
    <w:name w:val="toc 6"/>
    <w:uiPriority w:val="33"/>
    <w:unhideWhenUsed/>
    <w:qFormat/>
    <w:rsid w:val="00B83C48"/>
    <w:pPr>
      <w:ind w:left="2125"/>
      <w:jc w:val="both"/>
    </w:pPr>
  </w:style>
  <w:style w:type="paragraph" w:styleId="70">
    <w:name w:val="toc 7"/>
    <w:uiPriority w:val="34"/>
    <w:unhideWhenUsed/>
    <w:qFormat/>
    <w:rsid w:val="00B83C48"/>
    <w:pPr>
      <w:ind w:left="2550"/>
      <w:jc w:val="both"/>
    </w:pPr>
  </w:style>
  <w:style w:type="paragraph" w:styleId="80">
    <w:name w:val="toc 8"/>
    <w:uiPriority w:val="35"/>
    <w:unhideWhenUsed/>
    <w:qFormat/>
    <w:rsid w:val="00B83C48"/>
    <w:pPr>
      <w:ind w:left="2975"/>
      <w:jc w:val="both"/>
    </w:pPr>
  </w:style>
  <w:style w:type="paragraph" w:styleId="90">
    <w:name w:val="toc 9"/>
    <w:uiPriority w:val="36"/>
    <w:unhideWhenUsed/>
    <w:qFormat/>
    <w:rsid w:val="00B83C48"/>
    <w:pPr>
      <w:ind w:left="3400"/>
      <w:jc w:val="both"/>
    </w:pPr>
  </w:style>
  <w:style w:type="paragraph" w:styleId="af0">
    <w:name w:val="Normal (Web)"/>
    <w:basedOn w:val="a"/>
    <w:unhideWhenUsed/>
    <w:rsid w:val="00B83C48"/>
    <w:rPr>
      <w:rFonts w:ascii="宋体" w:hAnsi="宋体"/>
      <w:sz w:val="24"/>
      <w:szCs w:val="24"/>
    </w:rPr>
  </w:style>
  <w:style w:type="character" w:styleId="af1">
    <w:name w:val="Hyperlink"/>
    <w:basedOn w:val="a0"/>
    <w:semiHidden/>
    <w:unhideWhenUsed/>
    <w:rsid w:val="00B83C48"/>
    <w:rPr>
      <w:color w:val="0000FF"/>
      <w:w w:val="100"/>
      <w:sz w:val="20"/>
      <w:szCs w:val="20"/>
      <w:u w:val="single"/>
      <w:shd w:val="clear" w:color="auto" w:fill="auto"/>
    </w:rPr>
  </w:style>
  <w:style w:type="paragraph" w:styleId="af2">
    <w:name w:val="header"/>
    <w:basedOn w:val="a"/>
    <w:link w:val="Char"/>
    <w:semiHidden/>
    <w:unhideWhenUsed/>
    <w:rsid w:val="00B83C48"/>
    <w:pPr>
      <w:tabs>
        <w:tab w:val="center" w:pos="4153"/>
        <w:tab w:val="right" w:pos="8306"/>
      </w:tabs>
      <w:jc w:val="center"/>
    </w:pPr>
    <w:rPr>
      <w:sz w:val="18"/>
      <w:szCs w:val="18"/>
    </w:rPr>
  </w:style>
  <w:style w:type="character" w:customStyle="1" w:styleId="Char">
    <w:name w:val="页眉 Char"/>
    <w:basedOn w:val="a0"/>
    <w:link w:val="af2"/>
    <w:semiHidden/>
    <w:rsid w:val="00B83C48"/>
    <w:rPr>
      <w:w w:val="100"/>
      <w:sz w:val="18"/>
      <w:szCs w:val="18"/>
      <w:shd w:val="clear" w:color="auto" w:fill="auto"/>
    </w:rPr>
  </w:style>
  <w:style w:type="paragraph" w:styleId="af3">
    <w:name w:val="footer"/>
    <w:basedOn w:val="a"/>
    <w:link w:val="Char0"/>
    <w:uiPriority w:val="99"/>
    <w:unhideWhenUsed/>
    <w:rsid w:val="00B83C48"/>
    <w:pPr>
      <w:tabs>
        <w:tab w:val="center" w:pos="4153"/>
        <w:tab w:val="right" w:pos="8306"/>
      </w:tabs>
    </w:pPr>
    <w:rPr>
      <w:sz w:val="18"/>
      <w:szCs w:val="18"/>
    </w:rPr>
  </w:style>
  <w:style w:type="character" w:customStyle="1" w:styleId="Char0">
    <w:name w:val="页脚 Char"/>
    <w:basedOn w:val="a0"/>
    <w:link w:val="af3"/>
    <w:uiPriority w:val="99"/>
    <w:rsid w:val="00B83C48"/>
    <w:rPr>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300</Words>
  <Characters>1710</Characters>
  <Application>Microsoft Office Word</Application>
  <DocSecurity>0</DocSecurity>
  <Lines>14</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ChenLi</cp:lastModifiedBy>
  <cp:revision>10</cp:revision>
  <cp:lastPrinted>2019-05-08T03:05:00Z</cp:lastPrinted>
  <dcterms:created xsi:type="dcterms:W3CDTF">2019-05-21T06:56:00Z</dcterms:created>
  <dcterms:modified xsi:type="dcterms:W3CDTF">2019-05-22T08:02:00Z</dcterms:modified>
</cp:coreProperties>
</file>