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6"/>
          <w:szCs w:val="36"/>
          <w:lang w:val="en-US" w:eastAsia="zh-CN"/>
        </w:rPr>
        <w:t>河东区总工会工会会员普惠服务指南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一、在职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持卡工会会员“指定重大疾病保障”和“非工伤意外死亡及家庭火灾重大损失保障”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持卡会员本人在保障期内首次确诊患有以下5类指定重大疾病，经本市三级医院诊断并住院治疗的，给予一次性救助1万元。指定重大疾病包括：（1）良性脑肿瘤；（2）恶性肿瘤；（3）慢性肾衰竭（尿毒症）；（4）重要器官移植；（5）白血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2、持卡会员本人在保障期内遭受非工伤意外伤害并在180天内死亡的，给予一次性救助2万元。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3、在保障期内因火灾造成持卡会员天津市范围内住宅家庭财产、生活必需品重大损失的，根据提供的财产损失评估证明，按照损失额的10%给予救助，最高1万元。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在一个保障期内，每名符合条件的持卡会员每种救助金只可申领一次。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二、在职工会会员重病关爱资金慰问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1、自2018年8月1日起，因工伤、职业病或患38种重大疾病在基本医疗保险定点医疗机构住院治疗的在职工会会员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每年首次住院给予一次性2000元慰问金。38种重大疾病包括：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恶性肿瘤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急性心肌梗死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脑卒中（包括脑梗塞和脑出血）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重大器官移植术或造血干细胞移植术（重大器官包括肾脏、肝脏、心脏、肺脏和胰脏）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冠状动脉搭桥术（即冠状动脉旁路移植术）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冠状动脉支架植入术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终末期肾病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因急性创伤或因病导致截肢（含任一手指或脚趾截肢一节及以上）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急性或亚急性重症肝炎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脑肿瘤（不区分良性或恶性）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慢性肝功能衰竭失代偿期（不包括酗酒或药物滥用所致）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脑炎或脑膜炎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深度昏迷（不包括酗酒、药物滥用、斗殴所致）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双耳失聪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双目失明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瘫痪—肌力三级及以下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心脏瓣膜手术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严重阿尔茨海默病（导致部分丧失自主生活能力，穿衣、进食、如厕、洗澡等基本日常生活活动难以独立完成，不含神经官能症和精神疾病，以及经证实的血管性痴呆）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重型颅脑损伤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严重帕金森病（导致部分丧失自主生活能力，穿衣、进食、如厕、洗澡等基本日常生活活动难以独立完成）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Ⅲ度及以上烧伤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严重原发性肺动脉高压（造成不可逆的体力活动能力受限）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严重运动神经元病（导致部分丧失自主生活能力，穿衣、进食、如厕、洗澡等基本日常生活活动难以独立完成）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语言能力丧失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重型再生障碍性贫血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主动脉手术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多发性硬化症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人类免疫缺陷病毒感染（经输血或因执行公务导致的）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29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植物人状态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系统性红斑狼疮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胰岛素依赖型糖尿病（1型糖尿病）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32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原发性心肌病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33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重症肌无力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34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急性坏死性胰腺炎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35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坏死性筋膜炎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36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终末期肺病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37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严重类风湿性关节炎（达到类风湿性关节炎功能分级III级以上的功能障碍)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30"/>
          <w:szCs w:val="30"/>
        </w:rPr>
        <w:t>38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白血病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2、自2018年11月1日起，因其他疾病在基本医疗保险定点医疗机构住院治疗的在职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工会</w:t>
      </w:r>
      <w:r>
        <w:rPr>
          <w:rFonts w:hint="eastAsia" w:ascii="仿宋_GB2312" w:hAnsi="仿宋_GB2312" w:eastAsia="仿宋_GB2312" w:cs="仿宋_GB2312"/>
          <w:sz w:val="30"/>
          <w:szCs w:val="30"/>
        </w:rPr>
        <w:t>会员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每年首次住院给予一次性500元慰问金。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以下住院情形不在慰问范围之内：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（1）住院进行美容整形手术；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（2）住院分娩或人工终止妊娠（因难产或意外流产等原因必须住院治疗的除外）；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（3）自杀、自伤等故意造成自身伤害，或因违法犯罪行为造成自身伤害而引发的住院；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（4）不以进一步治疗为目的而单纯实施身体检查等非治疗手段的住院；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（5）其他经市总工会认定的不属于正常因病住院的情形。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三、在职工会会员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大病救助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自2018年起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在职工会会员本人因病在医保定点医院治疗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0"/>
          <w:szCs w:val="30"/>
        </w:rPr>
        <w:t>全年医药费（含自费）经医保、商业保险、单位二次报销后，实际个人支付医药费总额超过6万元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的，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根据一年内会员实际个人支付医药费总额，分梯度给予1-5万元救助。救助标准详见下表：</w:t>
      </w:r>
    </w:p>
    <w:tbl>
      <w:tblPr>
        <w:tblStyle w:val="3"/>
        <w:tblpPr w:leftFromText="180" w:rightFromText="180" w:vertAnchor="text" w:horzAnchor="page" w:tblpX="1953" w:tblpY="167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9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实际个人支付医药费总额（万元）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救助金额（万元）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6（含）-7（不含）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7（含）-8（不含）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8（含）-9（不含）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9（含）-10（不含）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5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10（含）及以上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</w:tr>
    </w:tbl>
    <w:p>
      <w:pPr>
        <w:spacing w:line="560" w:lineRule="exact"/>
        <w:ind w:firstLine="680" w:firstLineChars="200"/>
        <w:rPr>
          <w:rFonts w:hint="eastAsia" w:ascii="方正仿宋简体" w:eastAsia="方正仿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40"/>
          <w:szCs w:val="4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D4AF0"/>
    <w:rsid w:val="15A30CF0"/>
    <w:rsid w:val="635D4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1550</Words>
  <Characters>1610</Characters>
  <Lines>0</Lines>
  <Paragraphs>0</Paragraphs>
  <TotalTime>37</TotalTime>
  <ScaleCrop>false</ScaleCrop>
  <LinksUpToDate>false</LinksUpToDate>
  <CharactersWithSpaces>1610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2019-03-05T07:32:00Z</dcterms:created>
  <dc:creator>丁伶</dc:creator>
  <cp:lastModifiedBy>丁伶</cp:lastModifiedBy>
  <dcterms:modified xsi:type="dcterms:W3CDTF">2019-03-05T09:34:08Z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